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F75E24" w14:textId="5EBA9C10" w:rsidR="001F13C6" w:rsidRDefault="001F13C6">
      <w:pPr>
        <w:tabs>
          <w:tab w:val="left" w:pos="2127"/>
        </w:tabs>
        <w:spacing w:before="240"/>
        <w:ind w:left="2131" w:hanging="2131"/>
        <w:rPr>
          <w:b/>
          <w:sz w:val="24"/>
        </w:rPr>
      </w:pPr>
      <w:bookmarkStart w:id="0" w:name="_Hlk11938704"/>
      <w:bookmarkStart w:id="1" w:name="OLE_LINK1"/>
      <w:bookmarkStart w:id="2" w:name="OLE_LINK2"/>
      <w:bookmarkEnd w:id="0"/>
      <w:r>
        <w:rPr>
          <w:b/>
          <w:sz w:val="24"/>
        </w:rPr>
        <w:t>Source:</w:t>
      </w:r>
      <w:r>
        <w:rPr>
          <w:b/>
          <w:sz w:val="24"/>
        </w:rPr>
        <w:tab/>
      </w:r>
      <w:r w:rsidR="00F72680" w:rsidRPr="00F72680">
        <w:rPr>
          <w:b/>
          <w:sz w:val="24"/>
          <w:lang w:val="en-CA"/>
        </w:rPr>
        <w:t>Qualcomm</w:t>
      </w:r>
      <w:r w:rsidR="005A678B">
        <w:rPr>
          <w:b/>
          <w:sz w:val="24"/>
          <w:lang w:val="en-CA"/>
        </w:rPr>
        <w:t xml:space="preserve"> Incorporated</w:t>
      </w:r>
      <w:r w:rsidR="00F72680" w:rsidRPr="00F72680">
        <w:rPr>
          <w:b/>
          <w:sz w:val="24"/>
          <w:lang w:val="en-CA"/>
        </w:rPr>
        <w:t>.</w:t>
      </w:r>
    </w:p>
    <w:p w14:paraId="74C577E7" w14:textId="1E7EC29C" w:rsidR="0060455D" w:rsidRPr="006D5CB2" w:rsidRDefault="001F13C6" w:rsidP="0060455D">
      <w:pPr>
        <w:tabs>
          <w:tab w:val="left" w:pos="2127"/>
        </w:tabs>
        <w:spacing w:line="240" w:lineRule="auto"/>
        <w:ind w:left="2131" w:hanging="2131"/>
        <w:rPr>
          <w:b/>
          <w:sz w:val="24"/>
          <w:lang w:eastAsia="zh-CN"/>
        </w:rPr>
      </w:pPr>
      <w:r>
        <w:rPr>
          <w:b/>
          <w:sz w:val="24"/>
        </w:rPr>
        <w:t>Title:</w:t>
      </w:r>
      <w:r>
        <w:rPr>
          <w:b/>
          <w:sz w:val="24"/>
        </w:rPr>
        <w:tab/>
      </w:r>
      <w:bookmarkStart w:id="3" w:name="OLE_LINK108"/>
      <w:bookmarkStart w:id="4" w:name="OLE_LINK109"/>
      <w:r w:rsidR="005A678B">
        <w:rPr>
          <w:b/>
          <w:sz w:val="24"/>
        </w:rPr>
        <w:t xml:space="preserve">On </w:t>
      </w:r>
      <w:r w:rsidR="00E05869">
        <w:rPr>
          <w:b/>
          <w:sz w:val="24"/>
        </w:rPr>
        <w:t xml:space="preserve">the </w:t>
      </w:r>
      <w:r w:rsidR="003D3D31">
        <w:rPr>
          <w:b/>
          <w:sz w:val="24"/>
        </w:rPr>
        <w:t xml:space="preserve">Impact of </w:t>
      </w:r>
      <w:r w:rsidR="00A93C46">
        <w:rPr>
          <w:b/>
          <w:sz w:val="24"/>
        </w:rPr>
        <w:t xml:space="preserve">Handset </w:t>
      </w:r>
      <w:r w:rsidR="003D3D31">
        <w:rPr>
          <w:b/>
          <w:sz w:val="24"/>
        </w:rPr>
        <w:t>Mounting on Non-Traditional Earpiece Response</w:t>
      </w:r>
    </w:p>
    <w:bookmarkEnd w:id="1"/>
    <w:bookmarkEnd w:id="2"/>
    <w:bookmarkEnd w:id="3"/>
    <w:bookmarkEnd w:id="4"/>
    <w:p w14:paraId="7C952932" w14:textId="7555B264" w:rsidR="00EA3C2B" w:rsidRDefault="00EA3C2B">
      <w:pPr>
        <w:tabs>
          <w:tab w:val="left" w:pos="2127"/>
        </w:tabs>
        <w:ind w:left="2131" w:hanging="2131"/>
        <w:rPr>
          <w:b/>
          <w:sz w:val="24"/>
        </w:rPr>
      </w:pPr>
      <w:r>
        <w:rPr>
          <w:b/>
          <w:sz w:val="24"/>
        </w:rPr>
        <w:t>Document for:</w:t>
      </w:r>
      <w:r>
        <w:rPr>
          <w:b/>
          <w:sz w:val="24"/>
        </w:rPr>
        <w:tab/>
      </w:r>
      <w:bookmarkStart w:id="5" w:name="OLE_LINK47"/>
      <w:bookmarkStart w:id="6" w:name="OLE_LINK48"/>
      <w:r>
        <w:rPr>
          <w:b/>
          <w:sz w:val="24"/>
        </w:rPr>
        <w:t>Discussion</w:t>
      </w:r>
      <w:bookmarkEnd w:id="5"/>
      <w:bookmarkEnd w:id="6"/>
    </w:p>
    <w:p w14:paraId="015A66AB" w14:textId="2DF160B0" w:rsidR="001F13C6" w:rsidRDefault="00B27DF6">
      <w:pPr>
        <w:tabs>
          <w:tab w:val="left" w:pos="2127"/>
        </w:tabs>
        <w:ind w:left="2131" w:hanging="2131"/>
        <w:rPr>
          <w:b/>
          <w:sz w:val="24"/>
        </w:rPr>
      </w:pPr>
      <w:r>
        <w:rPr>
          <w:b/>
          <w:sz w:val="24"/>
        </w:rPr>
        <w:t>Agenda Item:</w:t>
      </w:r>
      <w:r>
        <w:rPr>
          <w:b/>
          <w:sz w:val="24"/>
        </w:rPr>
        <w:tab/>
      </w:r>
      <w:r w:rsidR="009701CD">
        <w:rPr>
          <w:b/>
          <w:sz w:val="24"/>
        </w:rPr>
        <w:t>9.6</w:t>
      </w:r>
    </w:p>
    <w:p w14:paraId="04215935" w14:textId="77777777" w:rsidR="001F13C6" w:rsidRDefault="001F13C6">
      <w:pPr>
        <w:pBdr>
          <w:top w:val="single" w:sz="12" w:space="1" w:color="auto"/>
        </w:pBdr>
      </w:pPr>
    </w:p>
    <w:p w14:paraId="683FD67A" w14:textId="77777777" w:rsidR="007C2F1F" w:rsidRDefault="007C2F1F" w:rsidP="005E011D">
      <w:pPr>
        <w:rPr>
          <w:b/>
          <w:sz w:val="24"/>
        </w:rPr>
      </w:pPr>
      <w:r>
        <w:rPr>
          <w:b/>
          <w:sz w:val="24"/>
        </w:rPr>
        <w:t>Abstract</w:t>
      </w:r>
    </w:p>
    <w:p w14:paraId="44A43870" w14:textId="2EF7647E" w:rsidR="003746D4" w:rsidRDefault="00F473E6" w:rsidP="007C2F1F">
      <w:pPr>
        <w:rPr>
          <w:lang w:val="en-US"/>
        </w:rPr>
      </w:pPr>
      <w:bookmarkStart w:id="7" w:name="_Hlk4753168"/>
      <w:bookmarkStart w:id="8" w:name="OLE_LINK99"/>
      <w:bookmarkStart w:id="9" w:name="OLE_LINK100"/>
      <w:bookmarkStart w:id="10" w:name="OLE_LINK101"/>
      <w:r>
        <w:rPr>
          <w:lang w:val="en-US"/>
        </w:rPr>
        <w:t xml:space="preserve">This contribution </w:t>
      </w:r>
      <w:r w:rsidR="008B79F2">
        <w:rPr>
          <w:lang w:val="en-US"/>
        </w:rPr>
        <w:t>investigates</w:t>
      </w:r>
      <w:r w:rsidR="000B1CE1">
        <w:rPr>
          <w:lang w:val="en-US"/>
        </w:rPr>
        <w:t xml:space="preserve"> </w:t>
      </w:r>
      <w:r w:rsidR="003D3D31">
        <w:rPr>
          <w:lang w:val="en-US"/>
        </w:rPr>
        <w:t xml:space="preserve">the impact of handset mounting on the frequency response of a non-traditional earpiece. It is shown that changes in the force applied to the </w:t>
      </w:r>
      <w:r w:rsidR="00B90BAD">
        <w:rPr>
          <w:lang w:val="en-US"/>
        </w:rPr>
        <w:t xml:space="preserve">back of the handset </w:t>
      </w:r>
      <w:r w:rsidR="003D3D31">
        <w:rPr>
          <w:lang w:val="en-US"/>
        </w:rPr>
        <w:t xml:space="preserve">lead to variations in the </w:t>
      </w:r>
      <w:r w:rsidR="00B90BAD">
        <w:rPr>
          <w:lang w:val="en-US"/>
        </w:rPr>
        <w:t>receive</w:t>
      </w:r>
      <w:r w:rsidR="00AB2F63">
        <w:rPr>
          <w:lang w:val="en-US"/>
        </w:rPr>
        <w:t>r</w:t>
      </w:r>
      <w:r w:rsidR="00B90BAD">
        <w:rPr>
          <w:lang w:val="en-US"/>
        </w:rPr>
        <w:t xml:space="preserve"> frequency response</w:t>
      </w:r>
      <w:r w:rsidR="003D3D31">
        <w:rPr>
          <w:lang w:val="en-US"/>
        </w:rPr>
        <w:t>. However, the same changes in force</w:t>
      </w:r>
      <w:r w:rsidR="00AB2F63">
        <w:rPr>
          <w:lang w:val="en-US"/>
        </w:rPr>
        <w:t>,</w:t>
      </w:r>
      <w:r w:rsidR="003D3D31">
        <w:rPr>
          <w:lang w:val="en-US"/>
        </w:rPr>
        <w:t xml:space="preserve"> when applied to handsets with traditional earpieces</w:t>
      </w:r>
      <w:r w:rsidR="00AB2F63">
        <w:rPr>
          <w:lang w:val="en-US"/>
        </w:rPr>
        <w:t>,</w:t>
      </w:r>
      <w:r w:rsidR="003D3D31">
        <w:rPr>
          <w:lang w:val="en-US"/>
        </w:rPr>
        <w:t xml:space="preserve"> </w:t>
      </w:r>
      <w:r w:rsidR="0063415A">
        <w:rPr>
          <w:lang w:val="en-US"/>
        </w:rPr>
        <w:t>result in</w:t>
      </w:r>
      <w:r w:rsidR="003D3D31">
        <w:rPr>
          <w:lang w:val="en-US"/>
        </w:rPr>
        <w:t xml:space="preserve"> </w:t>
      </w:r>
      <w:r w:rsidR="00AB2F63">
        <w:rPr>
          <w:lang w:val="en-US"/>
        </w:rPr>
        <w:t>minimal</w:t>
      </w:r>
      <w:r w:rsidR="0063415A">
        <w:rPr>
          <w:lang w:val="en-US"/>
        </w:rPr>
        <w:t xml:space="preserve"> response variation</w:t>
      </w:r>
      <w:r w:rsidR="003D3D31">
        <w:rPr>
          <w:lang w:val="en-US"/>
        </w:rPr>
        <w:t xml:space="preserve">. These findings are verified on </w:t>
      </w:r>
      <w:r w:rsidR="0081139D">
        <w:rPr>
          <w:lang w:val="en-US"/>
        </w:rPr>
        <w:t xml:space="preserve">two </w:t>
      </w:r>
      <w:r w:rsidR="003D3D31">
        <w:rPr>
          <w:lang w:val="en-US"/>
        </w:rPr>
        <w:t>prototype handsets as well as 5 commercially available devices.</w:t>
      </w:r>
    </w:p>
    <w:bookmarkEnd w:id="7"/>
    <w:bookmarkEnd w:id="8"/>
    <w:bookmarkEnd w:id="9"/>
    <w:bookmarkEnd w:id="10"/>
    <w:p w14:paraId="0E680ABE" w14:textId="7BAC0C74" w:rsidR="00FC0951" w:rsidRDefault="00EA3C2B" w:rsidP="00326A63">
      <w:pPr>
        <w:numPr>
          <w:ilvl w:val="0"/>
          <w:numId w:val="1"/>
        </w:numPr>
        <w:rPr>
          <w:b/>
          <w:sz w:val="24"/>
        </w:rPr>
      </w:pPr>
      <w:r>
        <w:rPr>
          <w:b/>
          <w:sz w:val="24"/>
        </w:rPr>
        <w:t>Introduction</w:t>
      </w:r>
    </w:p>
    <w:p w14:paraId="5BF82D39" w14:textId="0BAE829B" w:rsidR="00746FD7" w:rsidRDefault="00BB5488" w:rsidP="0035697D">
      <w:pPr>
        <w:keepNext/>
      </w:pPr>
      <w:r>
        <w:t xml:space="preserve">3GPP UE’s </w:t>
      </w:r>
      <w:r w:rsidRPr="0035697D">
        <w:t xml:space="preserve">Receive Frequency Response (RFR) and Receive Loudness Rating (RLR) </w:t>
      </w:r>
      <w:r>
        <w:t xml:space="preserve">are measured with </w:t>
      </w:r>
      <w:r w:rsidRPr="0035697D">
        <w:t>Head and Torso Simulators (HATS)</w:t>
      </w:r>
      <w:r>
        <w:t xml:space="preserve"> and handset positioners</w:t>
      </w:r>
      <w:r w:rsidR="0035697D" w:rsidRPr="0035697D">
        <w:t>.</w:t>
      </w:r>
      <w:r w:rsidR="00746FD7">
        <w:t xml:space="preserve"> Handset positioners exert force at multiple points on the Device Under Test (DUT), including stationary supports on the back of the DUT. These supports may or may not be indicative of a user’s hand position while interacting with the DUT. </w:t>
      </w:r>
    </w:p>
    <w:p w14:paraId="2FECB7DA" w14:textId="0A9E1B54" w:rsidR="00111813" w:rsidRDefault="00746FD7" w:rsidP="0035697D">
      <w:pPr>
        <w:keepNext/>
      </w:pPr>
      <w:r>
        <w:t xml:space="preserve">The receiver transducer of a traditional earpiece design is decoupled from the surrounding mechanical </w:t>
      </w:r>
      <w:r w:rsidR="00111813">
        <w:t>system and</w:t>
      </w:r>
      <w:r>
        <w:t xml:space="preserve"> will not be</w:t>
      </w:r>
      <w:r w:rsidR="00111813">
        <w:t xml:space="preserve"> greatly</w:t>
      </w:r>
      <w:r>
        <w:t xml:space="preserve"> affected by </w:t>
      </w:r>
      <w:r w:rsidR="00111813">
        <w:t xml:space="preserve">the existence and placement of </w:t>
      </w:r>
      <w:r>
        <w:t xml:space="preserve">physical supports. However, with </w:t>
      </w:r>
      <w:r w:rsidR="00111813">
        <w:t xml:space="preserve">non-traditional earpiece designs (e.g. a vibrating display) the receiver transducer may be coupled </w:t>
      </w:r>
      <w:r w:rsidR="00B90BAD">
        <w:t>with</w:t>
      </w:r>
      <w:r w:rsidR="00111813">
        <w:t xml:space="preserve"> the entire mechanical structure of the device. Therefore, it </w:t>
      </w:r>
      <w:r w:rsidR="00B90BAD">
        <w:t>is</w:t>
      </w:r>
      <w:r w:rsidR="00111813">
        <w:t xml:space="preserve"> important to consider any physical supports and the force they exert when mounting non-traditional earpiece devices for RFR and RLR testing.</w:t>
      </w:r>
      <w:r w:rsidR="00B90BAD">
        <w:t xml:space="preserve"> </w:t>
      </w:r>
      <w:r w:rsidR="00111813">
        <w:t xml:space="preserve">This contribution explores mounting induced RFR variability on devices with </w:t>
      </w:r>
      <w:r w:rsidR="00B90BAD">
        <w:t xml:space="preserve">both </w:t>
      </w:r>
      <w:r w:rsidR="00111813">
        <w:t xml:space="preserve">traditional and non-traditional earpieces. </w:t>
      </w:r>
    </w:p>
    <w:p w14:paraId="1F105241" w14:textId="0CA75007" w:rsidR="00303197" w:rsidRPr="00111813" w:rsidRDefault="00E847DA" w:rsidP="00303197">
      <w:pPr>
        <w:pStyle w:val="ListParagraph"/>
        <w:keepNext/>
        <w:numPr>
          <w:ilvl w:val="0"/>
          <w:numId w:val="1"/>
        </w:numPr>
        <w:rPr>
          <w:sz w:val="24"/>
          <w:szCs w:val="24"/>
        </w:rPr>
      </w:pPr>
      <w:r>
        <w:rPr>
          <w:b/>
          <w:sz w:val="24"/>
          <w:szCs w:val="24"/>
        </w:rPr>
        <w:t>Devices</w:t>
      </w:r>
    </w:p>
    <w:p w14:paraId="008FAAEF" w14:textId="102BD227" w:rsidR="00AD04F4" w:rsidRPr="00D6610A" w:rsidRDefault="00AD04F4" w:rsidP="00AD04F4">
      <w:pPr>
        <w:keepNext/>
        <w:rPr>
          <w:b/>
        </w:rPr>
      </w:pPr>
      <w:r w:rsidRPr="00D6610A">
        <w:rPr>
          <w:b/>
        </w:rPr>
        <w:t>2.1</w:t>
      </w:r>
      <w:r w:rsidRPr="00D6610A">
        <w:rPr>
          <w:b/>
        </w:rPr>
        <w:tab/>
        <w:t>Traditional and Non-Traditional Earpiece prototypes</w:t>
      </w:r>
    </w:p>
    <w:p w14:paraId="77E460C6" w14:textId="0B6D12C8" w:rsidR="00F55D40" w:rsidRDefault="00F55D40" w:rsidP="00F55D40">
      <w:pPr>
        <w:keepNext/>
      </w:pPr>
      <w:r>
        <w:t>Two handset prototypes were developed for this experiment. Prototype 1 incorporates a 27ohm 15x6mm earpiece (traditional earpiece) radiating sound through an acoustic port on the display, and Prototype 2 incorporates an 8ohm 15x6mm actuator directly attached to the prototype display. Apart from this difference, both prototypes are identical. See Figure 1. Improved prototype acoustic sealing was achieved through an added layer of material at the bottom of the prototype screen and putty for screen fastening.</w:t>
      </w:r>
    </w:p>
    <w:p w14:paraId="4D4BF2D4" w14:textId="76410FDB" w:rsidR="00BB0023" w:rsidRDefault="00BB0023" w:rsidP="003264AC">
      <w:pPr>
        <w:pStyle w:val="TH"/>
      </w:pPr>
      <w:r>
        <w:t xml:space="preserve">Figure </w:t>
      </w:r>
      <w:r>
        <w:fldChar w:fldCharType="begin"/>
      </w:r>
      <w:r>
        <w:instrText xml:space="preserve"> SEQ Figure \* ARABIC </w:instrText>
      </w:r>
      <w:r>
        <w:fldChar w:fldCharType="separate"/>
      </w:r>
      <w:r w:rsidR="00435F5F">
        <w:rPr>
          <w:noProof/>
        </w:rPr>
        <w:t>1</w:t>
      </w:r>
      <w:r>
        <w:fldChar w:fldCharType="end"/>
      </w:r>
      <w:r>
        <w:t xml:space="preserve"> – Prototypes produced </w:t>
      </w:r>
      <w:r w:rsidR="003264AC">
        <w:t>(one with traditional earpiece, other with vibrating display)</w:t>
      </w:r>
    </w:p>
    <w:p w14:paraId="1F45FD00" w14:textId="237A8A96" w:rsidR="008E5474" w:rsidRDefault="00C908EA" w:rsidP="003264AC">
      <w:pPr>
        <w:keepNext/>
        <w:jc w:val="center"/>
      </w:pPr>
      <w:r>
        <w:rPr>
          <w:noProof/>
        </w:rPr>
        <w:drawing>
          <wp:inline distT="0" distB="0" distL="0" distR="0" wp14:anchorId="236F0AF7" wp14:editId="48BC6EDE">
            <wp:extent cx="1276462" cy="2468880"/>
            <wp:effectExtent l="0" t="0" r="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76462" cy="2468880"/>
                    </a:xfrm>
                    <a:prstGeom prst="rect">
                      <a:avLst/>
                    </a:prstGeom>
                    <a:noFill/>
                    <a:ln>
                      <a:noFill/>
                    </a:ln>
                  </pic:spPr>
                </pic:pic>
              </a:graphicData>
            </a:graphic>
          </wp:inline>
        </w:drawing>
      </w:r>
      <w:r w:rsidR="00803B5B">
        <w:rPr>
          <w:noProof/>
        </w:rPr>
        <w:drawing>
          <wp:inline distT="0" distB="0" distL="0" distR="0" wp14:anchorId="066FA50C" wp14:editId="31BF4113">
            <wp:extent cx="1333026" cy="2468880"/>
            <wp:effectExtent l="0" t="0" r="63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3026" cy="2468880"/>
                    </a:xfrm>
                    <a:prstGeom prst="rect">
                      <a:avLst/>
                    </a:prstGeom>
                    <a:noFill/>
                    <a:ln>
                      <a:noFill/>
                    </a:ln>
                  </pic:spPr>
                </pic:pic>
              </a:graphicData>
            </a:graphic>
          </wp:inline>
        </w:drawing>
      </w:r>
      <w:r w:rsidR="004C1997">
        <w:rPr>
          <w:noProof/>
        </w:rPr>
        <w:drawing>
          <wp:inline distT="0" distB="0" distL="0" distR="0" wp14:anchorId="0CEDDD36" wp14:editId="79C13ABF">
            <wp:extent cx="1247205" cy="246888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47205" cy="2468880"/>
                    </a:xfrm>
                    <a:prstGeom prst="rect">
                      <a:avLst/>
                    </a:prstGeom>
                    <a:noFill/>
                    <a:ln>
                      <a:noFill/>
                    </a:ln>
                  </pic:spPr>
                </pic:pic>
              </a:graphicData>
            </a:graphic>
          </wp:inline>
        </w:drawing>
      </w:r>
    </w:p>
    <w:p w14:paraId="67B1851F" w14:textId="284149A1" w:rsidR="00111813" w:rsidRPr="00D6610A" w:rsidRDefault="00111813" w:rsidP="00111813">
      <w:pPr>
        <w:keepNext/>
        <w:rPr>
          <w:b/>
        </w:rPr>
      </w:pPr>
      <w:r>
        <w:br/>
      </w:r>
      <w:r w:rsidRPr="00D6610A">
        <w:rPr>
          <w:b/>
        </w:rPr>
        <w:lastRenderedPageBreak/>
        <w:t>2.</w:t>
      </w:r>
      <w:r>
        <w:rPr>
          <w:b/>
        </w:rPr>
        <w:t>2</w:t>
      </w:r>
      <w:r w:rsidRPr="00D6610A">
        <w:rPr>
          <w:b/>
        </w:rPr>
        <w:tab/>
      </w:r>
      <w:r>
        <w:rPr>
          <w:b/>
        </w:rPr>
        <w:t>Commercial devices</w:t>
      </w:r>
    </w:p>
    <w:p w14:paraId="781006A1" w14:textId="5DD98C2D" w:rsidR="00A90131" w:rsidRDefault="00D04DDC" w:rsidP="005E012A">
      <w:pPr>
        <w:keepNext/>
      </w:pPr>
      <w:r>
        <w:t>Five commercial devices were tested along with the two prototypes mentioned in the previous section. Four of the five commercial devices employ non-standard, vibrating display earpieces</w:t>
      </w:r>
      <w:r w:rsidR="001356DB">
        <w:t xml:space="preserve">, while one device has as </w:t>
      </w:r>
      <w:r w:rsidR="0037213C">
        <w:t>traditional</w:t>
      </w:r>
      <w:r w:rsidR="001356DB">
        <w:t xml:space="preserve"> earpiece. </w:t>
      </w:r>
      <w:r w:rsidR="005E012A">
        <w:t>Table 1 provides more information.</w:t>
      </w:r>
    </w:p>
    <w:p w14:paraId="2A05CA30" w14:textId="4961C6FB" w:rsidR="00E6100D" w:rsidRDefault="00E6100D" w:rsidP="00E6100D">
      <w:pPr>
        <w:pStyle w:val="TH"/>
      </w:pPr>
      <w:r>
        <w:t>Table 1 – Further information on commercial devices</w:t>
      </w:r>
    </w:p>
    <w:tbl>
      <w:tblPr>
        <w:tblStyle w:val="TableGrid"/>
        <w:tblW w:w="0" w:type="auto"/>
        <w:jc w:val="center"/>
        <w:tblLook w:val="04A0" w:firstRow="1" w:lastRow="0" w:firstColumn="1" w:lastColumn="0" w:noHBand="0" w:noVBand="1"/>
      </w:tblPr>
      <w:tblGrid>
        <w:gridCol w:w="1705"/>
        <w:gridCol w:w="2970"/>
      </w:tblGrid>
      <w:tr w:rsidR="005E012A" w14:paraId="6F400ABC" w14:textId="77777777" w:rsidTr="00E106D6">
        <w:trPr>
          <w:jc w:val="center"/>
        </w:trPr>
        <w:tc>
          <w:tcPr>
            <w:tcW w:w="1705" w:type="dxa"/>
          </w:tcPr>
          <w:p w14:paraId="122FA212" w14:textId="41508E47" w:rsidR="005E012A" w:rsidRPr="00E6100D" w:rsidRDefault="005E012A" w:rsidP="00E6100D">
            <w:pPr>
              <w:jc w:val="center"/>
              <w:rPr>
                <w:b/>
                <w:bCs/>
              </w:rPr>
            </w:pPr>
            <w:r w:rsidRPr="00E6100D">
              <w:rPr>
                <w:b/>
                <w:bCs/>
              </w:rPr>
              <w:t>Device Number</w:t>
            </w:r>
          </w:p>
        </w:tc>
        <w:tc>
          <w:tcPr>
            <w:tcW w:w="2970" w:type="dxa"/>
          </w:tcPr>
          <w:p w14:paraId="33416803" w14:textId="37D1F5AA" w:rsidR="005E012A" w:rsidRPr="00E6100D" w:rsidRDefault="005E012A" w:rsidP="00E6100D">
            <w:pPr>
              <w:jc w:val="center"/>
              <w:rPr>
                <w:b/>
                <w:bCs/>
              </w:rPr>
            </w:pPr>
            <w:r w:rsidRPr="00E6100D">
              <w:rPr>
                <w:b/>
                <w:bCs/>
              </w:rPr>
              <w:t>Earpiece</w:t>
            </w:r>
          </w:p>
        </w:tc>
      </w:tr>
      <w:tr w:rsidR="005E012A" w14:paraId="23173279" w14:textId="77777777" w:rsidTr="00E106D6">
        <w:trPr>
          <w:jc w:val="center"/>
        </w:trPr>
        <w:tc>
          <w:tcPr>
            <w:tcW w:w="1705" w:type="dxa"/>
          </w:tcPr>
          <w:p w14:paraId="06E8D1BA" w14:textId="2983842B" w:rsidR="005E012A" w:rsidRDefault="005E012A" w:rsidP="00E6100D">
            <w:pPr>
              <w:jc w:val="center"/>
            </w:pPr>
            <w:r>
              <w:t>1</w:t>
            </w:r>
          </w:p>
        </w:tc>
        <w:tc>
          <w:tcPr>
            <w:tcW w:w="2970" w:type="dxa"/>
          </w:tcPr>
          <w:p w14:paraId="77EB9099" w14:textId="02833A6B" w:rsidR="005E012A" w:rsidRDefault="005E012A" w:rsidP="00E6100D">
            <w:pPr>
              <w:jc w:val="center"/>
            </w:pPr>
            <w:r>
              <w:t>Traditional</w:t>
            </w:r>
          </w:p>
        </w:tc>
      </w:tr>
      <w:tr w:rsidR="005E012A" w14:paraId="3E8C4D37" w14:textId="77777777" w:rsidTr="00E106D6">
        <w:trPr>
          <w:trHeight w:val="139"/>
          <w:jc w:val="center"/>
        </w:trPr>
        <w:tc>
          <w:tcPr>
            <w:tcW w:w="1705" w:type="dxa"/>
          </w:tcPr>
          <w:p w14:paraId="4BF80D38" w14:textId="35722DC7" w:rsidR="005E012A" w:rsidRDefault="005E012A" w:rsidP="00E6100D">
            <w:pPr>
              <w:jc w:val="center"/>
            </w:pPr>
            <w:r>
              <w:t>2</w:t>
            </w:r>
          </w:p>
        </w:tc>
        <w:tc>
          <w:tcPr>
            <w:tcW w:w="2970" w:type="dxa"/>
          </w:tcPr>
          <w:p w14:paraId="2CEA9614" w14:textId="01AF5215" w:rsidR="005E012A" w:rsidRDefault="005E012A" w:rsidP="00E6100D">
            <w:pPr>
              <w:jc w:val="center"/>
            </w:pPr>
            <w:r>
              <w:t>Vibrating Display</w:t>
            </w:r>
            <w:r w:rsidR="00E106D6">
              <w:t xml:space="preserve"> (</w:t>
            </w:r>
            <w:proofErr w:type="spellStart"/>
            <w:r w:rsidR="00E106D6">
              <w:t>HaNTE</w:t>
            </w:r>
            <w:proofErr w:type="spellEnd"/>
            <w:r w:rsidR="00E106D6">
              <w:t>)</w:t>
            </w:r>
          </w:p>
        </w:tc>
      </w:tr>
      <w:tr w:rsidR="00E106D6" w14:paraId="0FDFED5B" w14:textId="77777777" w:rsidTr="00E106D6">
        <w:trPr>
          <w:jc w:val="center"/>
        </w:trPr>
        <w:tc>
          <w:tcPr>
            <w:tcW w:w="1705" w:type="dxa"/>
          </w:tcPr>
          <w:p w14:paraId="277B098E" w14:textId="7853020F" w:rsidR="00E106D6" w:rsidRDefault="00E106D6" w:rsidP="00E106D6">
            <w:pPr>
              <w:jc w:val="center"/>
            </w:pPr>
            <w:r>
              <w:t>3</w:t>
            </w:r>
          </w:p>
        </w:tc>
        <w:tc>
          <w:tcPr>
            <w:tcW w:w="2970" w:type="dxa"/>
          </w:tcPr>
          <w:p w14:paraId="35E43C09" w14:textId="53C414BC" w:rsidR="00E106D6" w:rsidRDefault="00E106D6" w:rsidP="00E106D6">
            <w:pPr>
              <w:jc w:val="center"/>
            </w:pPr>
            <w:r>
              <w:t>Vibrating Display (</w:t>
            </w:r>
            <w:proofErr w:type="spellStart"/>
            <w:r>
              <w:t>HaNTE</w:t>
            </w:r>
            <w:proofErr w:type="spellEnd"/>
            <w:r>
              <w:t>)</w:t>
            </w:r>
          </w:p>
        </w:tc>
      </w:tr>
      <w:tr w:rsidR="00E106D6" w14:paraId="0972A0F9" w14:textId="77777777" w:rsidTr="00E106D6">
        <w:trPr>
          <w:jc w:val="center"/>
        </w:trPr>
        <w:tc>
          <w:tcPr>
            <w:tcW w:w="1705" w:type="dxa"/>
          </w:tcPr>
          <w:p w14:paraId="1CA1657F" w14:textId="2382E054" w:rsidR="00E106D6" w:rsidRDefault="00E106D6" w:rsidP="00E106D6">
            <w:pPr>
              <w:jc w:val="center"/>
            </w:pPr>
            <w:r>
              <w:t>4</w:t>
            </w:r>
          </w:p>
        </w:tc>
        <w:tc>
          <w:tcPr>
            <w:tcW w:w="2970" w:type="dxa"/>
          </w:tcPr>
          <w:p w14:paraId="2470762F" w14:textId="7A037121" w:rsidR="00E106D6" w:rsidRDefault="00E106D6" w:rsidP="00E106D6">
            <w:pPr>
              <w:jc w:val="center"/>
            </w:pPr>
            <w:r>
              <w:t>Vibrating Display (</w:t>
            </w:r>
            <w:proofErr w:type="spellStart"/>
            <w:r>
              <w:t>HaNTE</w:t>
            </w:r>
            <w:proofErr w:type="spellEnd"/>
            <w:r>
              <w:t>)</w:t>
            </w:r>
          </w:p>
        </w:tc>
      </w:tr>
      <w:tr w:rsidR="00E106D6" w14:paraId="2BD5DB2C" w14:textId="77777777" w:rsidTr="00E106D6">
        <w:trPr>
          <w:trHeight w:val="193"/>
          <w:jc w:val="center"/>
        </w:trPr>
        <w:tc>
          <w:tcPr>
            <w:tcW w:w="1705" w:type="dxa"/>
          </w:tcPr>
          <w:p w14:paraId="0D963745" w14:textId="6EE4B920" w:rsidR="00E106D6" w:rsidRDefault="00E106D6" w:rsidP="00E106D6">
            <w:pPr>
              <w:jc w:val="center"/>
            </w:pPr>
            <w:r>
              <w:t>5</w:t>
            </w:r>
          </w:p>
        </w:tc>
        <w:tc>
          <w:tcPr>
            <w:tcW w:w="2970" w:type="dxa"/>
          </w:tcPr>
          <w:p w14:paraId="0B147B96" w14:textId="58A43BFE" w:rsidR="00E106D6" w:rsidRDefault="00E106D6" w:rsidP="00E106D6">
            <w:pPr>
              <w:jc w:val="center"/>
            </w:pPr>
            <w:r>
              <w:t>Vibrating Display (</w:t>
            </w:r>
            <w:proofErr w:type="spellStart"/>
            <w:r>
              <w:t>HaNTE</w:t>
            </w:r>
            <w:proofErr w:type="spellEnd"/>
            <w:r>
              <w:t>)</w:t>
            </w:r>
          </w:p>
        </w:tc>
      </w:tr>
    </w:tbl>
    <w:p w14:paraId="03DA664F" w14:textId="537B54E3" w:rsidR="008F13FC" w:rsidRDefault="008F13FC" w:rsidP="0033362E">
      <w:pPr>
        <w:keepNext/>
        <w:rPr>
          <w:b/>
        </w:rPr>
      </w:pPr>
    </w:p>
    <w:p w14:paraId="2483965B" w14:textId="727128A2" w:rsidR="008F13FC" w:rsidRPr="00C837F6" w:rsidRDefault="008F13FC" w:rsidP="0033362E">
      <w:pPr>
        <w:pStyle w:val="ListParagraph"/>
        <w:keepNext/>
        <w:numPr>
          <w:ilvl w:val="0"/>
          <w:numId w:val="1"/>
        </w:numPr>
        <w:rPr>
          <w:sz w:val="24"/>
          <w:szCs w:val="24"/>
        </w:rPr>
      </w:pPr>
      <w:r>
        <w:rPr>
          <w:b/>
          <w:sz w:val="24"/>
          <w:szCs w:val="24"/>
        </w:rPr>
        <w:t xml:space="preserve">Measurement </w:t>
      </w:r>
      <w:r w:rsidR="00D76E3C">
        <w:rPr>
          <w:b/>
          <w:sz w:val="24"/>
          <w:szCs w:val="24"/>
        </w:rPr>
        <w:t>system</w:t>
      </w:r>
    </w:p>
    <w:p w14:paraId="391D5087" w14:textId="116CDC58" w:rsidR="00C837F6" w:rsidRPr="00C837F6" w:rsidRDefault="00C837F6" w:rsidP="00C837F6">
      <w:pPr>
        <w:keepNext/>
        <w:rPr>
          <w:b/>
        </w:rPr>
      </w:pPr>
      <w:r w:rsidRPr="00C837F6">
        <w:rPr>
          <w:b/>
        </w:rPr>
        <w:t>3.</w:t>
      </w:r>
      <w:r>
        <w:rPr>
          <w:b/>
        </w:rPr>
        <w:t>1</w:t>
      </w:r>
      <w:r w:rsidRPr="00C837F6">
        <w:rPr>
          <w:b/>
        </w:rPr>
        <w:tab/>
        <w:t>Device mounting</w:t>
      </w:r>
    </w:p>
    <w:p w14:paraId="5FF3FBE5" w14:textId="1124D672" w:rsidR="00E13210" w:rsidRDefault="00C837F6" w:rsidP="00C837F6">
      <w:pPr>
        <w:keepNext/>
      </w:pPr>
      <w:r>
        <w:t>For RFR measurement, handsets were positioned on a Bruel &amp; Kjaer Type 5128 HATS with Type 4606 Handset Positioner and Centering Fork UA-1537. The prototypes were positioned according to ITU-T Rec. P.64 (A = 21.2</w:t>
      </w:r>
      <w:r w:rsidRPr="00C837F6">
        <w:rPr>
          <w:rFonts w:cs="Arial"/>
        </w:rPr>
        <w:t>°</w:t>
      </w:r>
      <w:r>
        <w:t>, B = 12.9</w:t>
      </w:r>
      <w:r w:rsidRPr="00C837F6">
        <w:rPr>
          <w:rFonts w:cs="Arial"/>
        </w:rPr>
        <w:t>°</w:t>
      </w:r>
      <w:r>
        <w:t>, C = 2.3</w:t>
      </w:r>
      <w:r w:rsidRPr="00C837F6">
        <w:rPr>
          <w:rFonts w:cs="Arial"/>
        </w:rPr>
        <w:t>°)</w:t>
      </w:r>
      <w:r w:rsidR="00596D6F">
        <w:rPr>
          <w:rFonts w:cs="Arial"/>
        </w:rPr>
        <w:t xml:space="preserve"> with 8N of force applied to the HATS pinna</w:t>
      </w:r>
      <w:r w:rsidRPr="00C837F6">
        <w:rPr>
          <w:rFonts w:cs="Arial"/>
        </w:rPr>
        <w:t>. All devices</w:t>
      </w:r>
      <w:r>
        <w:t xml:space="preserve"> were mounted with End-Stop adjustment set to 17mm. See Figure </w:t>
      </w:r>
      <w:r w:rsidR="005E012A">
        <w:t>2</w:t>
      </w:r>
      <w:r>
        <w:t>.</w:t>
      </w:r>
    </w:p>
    <w:p w14:paraId="4DC91D03" w14:textId="3F7D521E" w:rsidR="00E13210" w:rsidRDefault="00E13210" w:rsidP="00E13210">
      <w:pPr>
        <w:pStyle w:val="Caption"/>
        <w:keepNext/>
        <w:jc w:val="center"/>
      </w:pPr>
      <w:r>
        <w:t xml:space="preserve">Figure </w:t>
      </w:r>
      <w:r w:rsidR="005E012A">
        <w:t>2</w:t>
      </w:r>
      <w:r>
        <w:t xml:space="preserve"> - Handset positioned on HATS</w:t>
      </w:r>
    </w:p>
    <w:p w14:paraId="53EDB303" w14:textId="6C13D5A9" w:rsidR="00E13210" w:rsidRDefault="00E13210" w:rsidP="00054506">
      <w:pPr>
        <w:keepNext/>
        <w:jc w:val="center"/>
      </w:pPr>
      <w:r>
        <w:rPr>
          <w:noProof/>
        </w:rPr>
        <w:drawing>
          <wp:inline distT="0" distB="0" distL="0" distR="0" wp14:anchorId="1BABB9F5" wp14:editId="54DA7192">
            <wp:extent cx="2330321" cy="1747193"/>
            <wp:effectExtent l="5715"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rot="5400000">
                      <a:off x="0" y="0"/>
                      <a:ext cx="2589259" cy="1941336"/>
                    </a:xfrm>
                    <a:prstGeom prst="rect">
                      <a:avLst/>
                    </a:prstGeom>
                    <a:noFill/>
                    <a:ln>
                      <a:noFill/>
                    </a:ln>
                  </pic:spPr>
                </pic:pic>
              </a:graphicData>
            </a:graphic>
          </wp:inline>
        </w:drawing>
      </w:r>
    </w:p>
    <w:p w14:paraId="12B6A906" w14:textId="2E5A67CF" w:rsidR="00E13210" w:rsidRDefault="00596D6F" w:rsidP="004249DF">
      <w:pPr>
        <w:keepNext/>
        <w:jc w:val="left"/>
        <w:rPr>
          <w:noProof/>
        </w:rPr>
      </w:pPr>
      <w:r>
        <w:t xml:space="preserve">For a comparison of mounting conditions, all devices were measured with and without the handset positioner </w:t>
      </w:r>
      <w:r w:rsidR="00F77B58">
        <w:t>support</w:t>
      </w:r>
      <w:r>
        <w:t xml:space="preserve"> pins in place. See Figure </w:t>
      </w:r>
      <w:r w:rsidR="004249DF">
        <w:t>3</w:t>
      </w:r>
      <w:r>
        <w:t>.</w:t>
      </w:r>
      <w:r w:rsidR="00E13210" w:rsidRPr="00E13210">
        <w:rPr>
          <w:noProof/>
        </w:rPr>
        <w:t xml:space="preserve"> </w:t>
      </w:r>
    </w:p>
    <w:p w14:paraId="347A4821" w14:textId="35C2857D" w:rsidR="00596D6F" w:rsidRDefault="00596D6F" w:rsidP="00596D6F">
      <w:pPr>
        <w:pStyle w:val="Caption"/>
        <w:keepNext/>
        <w:jc w:val="center"/>
      </w:pPr>
      <w:r>
        <w:t xml:space="preserve">Figure </w:t>
      </w:r>
      <w:r w:rsidR="004249DF">
        <w:t>3</w:t>
      </w:r>
      <w:r>
        <w:t xml:space="preserve"> – Handset positioned with and without </w:t>
      </w:r>
      <w:r w:rsidR="00F77B58">
        <w:t>support</w:t>
      </w:r>
      <w:r>
        <w:t xml:space="preserve"> pins</w:t>
      </w:r>
    </w:p>
    <w:p w14:paraId="71AA7C95" w14:textId="4A432AA7" w:rsidR="00596D6F" w:rsidRPr="00C837F6" w:rsidRDefault="00775687" w:rsidP="00775687">
      <w:pPr>
        <w:keepNext/>
        <w:jc w:val="center"/>
        <w:rPr>
          <w:sz w:val="22"/>
        </w:rPr>
      </w:pPr>
      <w:r>
        <w:rPr>
          <w:noProof/>
          <w:sz w:val="22"/>
        </w:rPr>
        <w:drawing>
          <wp:inline distT="0" distB="0" distL="0" distR="0" wp14:anchorId="4DE3933E" wp14:editId="1072DB9C">
            <wp:extent cx="2514600" cy="188601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14600" cy="1886015"/>
                    </a:xfrm>
                    <a:prstGeom prst="rect">
                      <a:avLst/>
                    </a:prstGeom>
                    <a:noFill/>
                    <a:ln>
                      <a:noFill/>
                    </a:ln>
                  </pic:spPr>
                </pic:pic>
              </a:graphicData>
            </a:graphic>
          </wp:inline>
        </w:drawing>
      </w:r>
      <w:r>
        <w:rPr>
          <w:sz w:val="22"/>
        </w:rPr>
        <w:t xml:space="preserve">    </w:t>
      </w:r>
      <w:r>
        <w:rPr>
          <w:noProof/>
          <w:sz w:val="22"/>
        </w:rPr>
        <w:drawing>
          <wp:inline distT="0" distB="0" distL="0" distR="0" wp14:anchorId="36F2A77D" wp14:editId="6DFFAF18">
            <wp:extent cx="2514600" cy="188601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14600" cy="1886015"/>
                    </a:xfrm>
                    <a:prstGeom prst="rect">
                      <a:avLst/>
                    </a:prstGeom>
                    <a:noFill/>
                    <a:ln>
                      <a:noFill/>
                    </a:ln>
                  </pic:spPr>
                </pic:pic>
              </a:graphicData>
            </a:graphic>
          </wp:inline>
        </w:drawing>
      </w:r>
    </w:p>
    <w:p w14:paraId="170EAD43" w14:textId="77777777" w:rsidR="00B81CF0" w:rsidRDefault="00B81CF0">
      <w:pPr>
        <w:widowControl/>
        <w:spacing w:after="0" w:line="240" w:lineRule="auto"/>
        <w:jc w:val="left"/>
        <w:rPr>
          <w:b/>
        </w:rPr>
      </w:pPr>
      <w:r>
        <w:rPr>
          <w:b/>
        </w:rPr>
        <w:br w:type="page"/>
      </w:r>
    </w:p>
    <w:p w14:paraId="06E74290" w14:textId="04ED1A18" w:rsidR="008F13FC" w:rsidRPr="008F13FC" w:rsidRDefault="00AA790B" w:rsidP="008F13FC">
      <w:pPr>
        <w:keepNext/>
        <w:rPr>
          <w:b/>
        </w:rPr>
      </w:pPr>
      <w:r>
        <w:rPr>
          <w:b/>
        </w:rPr>
        <w:lastRenderedPageBreak/>
        <w:t>3.</w:t>
      </w:r>
      <w:r w:rsidR="00205F93">
        <w:rPr>
          <w:b/>
        </w:rPr>
        <w:t>2</w:t>
      </w:r>
      <w:r w:rsidR="008F13FC" w:rsidRPr="008F13FC">
        <w:rPr>
          <w:b/>
        </w:rPr>
        <w:tab/>
      </w:r>
      <w:r w:rsidR="008F13FC">
        <w:rPr>
          <w:b/>
        </w:rPr>
        <w:t>Playback</w:t>
      </w:r>
      <w:r w:rsidR="00923077">
        <w:rPr>
          <w:b/>
        </w:rPr>
        <w:t xml:space="preserve"> </w:t>
      </w:r>
      <w:r w:rsidR="008F13FC">
        <w:rPr>
          <w:b/>
        </w:rPr>
        <w:t>system</w:t>
      </w:r>
    </w:p>
    <w:p w14:paraId="043358F6" w14:textId="55FEE95C" w:rsidR="008F13FC" w:rsidRDefault="008F13FC" w:rsidP="008F13FC">
      <w:pPr>
        <w:keepNext/>
      </w:pPr>
      <w:r>
        <w:t xml:space="preserve">To drive Prototype 1 and Prototype 2, a personal computer (PC) was connected to an RME MADIface Pro USB digital audio interface. Prototype 1 was directly driven by the MADIface headphone output (Analog 3). Prototype 2 was driven by a Bruel &amp; Kjaer Type 2716C amplifier with +12dB of gain which was in turn connected to the MADIface Analog 1 output. </w:t>
      </w:r>
      <w:r w:rsidR="008152F8">
        <w:t>Wideband pink noise was used for RFR measurement on both prototypes</w:t>
      </w:r>
      <w:r w:rsidR="00AC5D2D">
        <w:t>.</w:t>
      </w:r>
      <w:r w:rsidR="00A5497B">
        <w:t xml:space="preserve"> Playback of the pink noise stimulus was accomplished using Adobe Audition.</w:t>
      </w:r>
    </w:p>
    <w:p w14:paraId="34EA8BBA" w14:textId="45E78995" w:rsidR="008F13FC" w:rsidRDefault="008F13FC" w:rsidP="00AC5D2D">
      <w:pPr>
        <w:pStyle w:val="Caption"/>
        <w:keepNext/>
        <w:jc w:val="center"/>
      </w:pPr>
      <w:r>
        <w:t xml:space="preserve">Figure </w:t>
      </w:r>
      <w:r w:rsidR="00055702">
        <w:t>4</w:t>
      </w:r>
      <w:r>
        <w:t xml:space="preserve"> – Block diagram of </w:t>
      </w:r>
      <w:r w:rsidR="001F3D76">
        <w:t>prototype playback system</w:t>
      </w:r>
    </w:p>
    <w:p w14:paraId="0193A9D7" w14:textId="40F7D516" w:rsidR="00A7463C" w:rsidRPr="00A7463C" w:rsidRDefault="00345955" w:rsidP="00C62704">
      <w:pPr>
        <w:jc w:val="center"/>
      </w:pPr>
      <w:r>
        <w:rPr>
          <w:noProof/>
        </w:rPr>
        <w:drawing>
          <wp:inline distT="0" distB="0" distL="0" distR="0" wp14:anchorId="69B63FF3" wp14:editId="395DDCA4">
            <wp:extent cx="4572000" cy="1255413"/>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72000" cy="1255413"/>
                    </a:xfrm>
                    <a:prstGeom prst="rect">
                      <a:avLst/>
                    </a:prstGeom>
                    <a:noFill/>
                    <a:ln>
                      <a:noFill/>
                    </a:ln>
                  </pic:spPr>
                </pic:pic>
              </a:graphicData>
            </a:graphic>
          </wp:inline>
        </w:drawing>
      </w:r>
    </w:p>
    <w:p w14:paraId="763B68B1" w14:textId="625B5E95" w:rsidR="00AC5D2D" w:rsidRDefault="008152F8" w:rsidP="008152F8">
      <w:r>
        <w:t xml:space="preserve">The five commercial devices were </w:t>
      </w:r>
      <w:r w:rsidR="00AC5D2D">
        <w:t>driven by a Rohde &amp; Schwarz CMW500 Wideband Radio Communication Tester.</w:t>
      </w:r>
      <w:r w:rsidR="00A5497B">
        <w:t xml:space="preserve"> </w:t>
      </w:r>
      <w:r w:rsidR="004249DF">
        <w:t>AMR-WB</w:t>
      </w:r>
      <w:r w:rsidR="001030A8">
        <w:t xml:space="preserve"> (20Hz–8kHz)</w:t>
      </w:r>
      <w:r w:rsidR="005E10FD">
        <w:t xml:space="preserve"> at</w:t>
      </w:r>
      <w:r w:rsidR="004249DF">
        <w:t xml:space="preserve"> 12.65kbps</w:t>
      </w:r>
      <w:r w:rsidR="004E017A">
        <w:t xml:space="preserve"> </w:t>
      </w:r>
      <w:r w:rsidR="005E10FD">
        <w:t>was used for</w:t>
      </w:r>
      <w:r w:rsidR="00A5497B">
        <w:t xml:space="preserve"> transmission</w:t>
      </w:r>
      <w:r w:rsidR="005E10FD">
        <w:t xml:space="preserve"> speech coding</w:t>
      </w:r>
      <w:r w:rsidR="00A5497B">
        <w:t>.</w:t>
      </w:r>
      <w:r w:rsidR="004E017A">
        <w:t xml:space="preserve"> </w:t>
      </w:r>
      <w:r w:rsidR="00A5497B">
        <w:t xml:space="preserve">The measurement stimulus was an ITU-T Recommendation </w:t>
      </w:r>
      <w:r w:rsidR="004E017A">
        <w:t xml:space="preserve">P.501 speech file </w:t>
      </w:r>
      <w:r w:rsidR="00A5497B">
        <w:t>with twelve utterances (six male</w:t>
      </w:r>
      <w:r w:rsidR="004249DF">
        <w:t xml:space="preserve"> and</w:t>
      </w:r>
      <w:r w:rsidR="00A5497B">
        <w:t xml:space="preserve"> six female)</w:t>
      </w:r>
      <w:r w:rsidR="009C69F9">
        <w:t>. ACQUA from Head Acoustics was used for stimulus playback.</w:t>
      </w:r>
    </w:p>
    <w:p w14:paraId="4FFE11A1" w14:textId="37917D0C" w:rsidR="001F3D76" w:rsidRDefault="001F3D76" w:rsidP="001F3D76">
      <w:pPr>
        <w:pStyle w:val="Caption"/>
        <w:keepNext/>
        <w:jc w:val="center"/>
      </w:pPr>
      <w:r>
        <w:t xml:space="preserve">Figure </w:t>
      </w:r>
      <w:r w:rsidR="00055702">
        <w:t>5</w:t>
      </w:r>
      <w:r>
        <w:t xml:space="preserve"> – Block diagram of commercial device playback system</w:t>
      </w:r>
    </w:p>
    <w:p w14:paraId="57AE2CEB" w14:textId="2981EF62" w:rsidR="001F3D76" w:rsidRPr="008152F8" w:rsidRDefault="00345955" w:rsidP="00DE7054">
      <w:pPr>
        <w:jc w:val="center"/>
      </w:pPr>
      <w:r>
        <w:rPr>
          <w:noProof/>
        </w:rPr>
        <w:drawing>
          <wp:inline distT="0" distB="0" distL="0" distR="0" wp14:anchorId="78C95758" wp14:editId="581E38B7">
            <wp:extent cx="4572000" cy="108685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72000" cy="1086853"/>
                    </a:xfrm>
                    <a:prstGeom prst="rect">
                      <a:avLst/>
                    </a:prstGeom>
                    <a:noFill/>
                    <a:ln>
                      <a:noFill/>
                    </a:ln>
                  </pic:spPr>
                </pic:pic>
              </a:graphicData>
            </a:graphic>
          </wp:inline>
        </w:drawing>
      </w:r>
    </w:p>
    <w:p w14:paraId="3614C0D2" w14:textId="427E101D" w:rsidR="008F13FC" w:rsidRDefault="008152F8" w:rsidP="008F13FC">
      <w:pPr>
        <w:keepNext/>
        <w:rPr>
          <w:b/>
        </w:rPr>
      </w:pPr>
      <w:r>
        <w:rPr>
          <w:b/>
        </w:rPr>
        <w:t>3</w:t>
      </w:r>
      <w:r w:rsidR="00205F93">
        <w:rPr>
          <w:b/>
        </w:rPr>
        <w:t>.3</w:t>
      </w:r>
      <w:r w:rsidRPr="00D6610A">
        <w:rPr>
          <w:b/>
        </w:rPr>
        <w:tab/>
      </w:r>
      <w:r>
        <w:rPr>
          <w:b/>
        </w:rPr>
        <w:t>Recording system</w:t>
      </w:r>
    </w:p>
    <w:p w14:paraId="2B6B9BDB" w14:textId="3E099048" w:rsidR="00AC5D2D" w:rsidRPr="006E3F37" w:rsidRDefault="001F3D76" w:rsidP="00CB19BD">
      <w:pPr>
        <w:keepNext/>
      </w:pPr>
      <w:r>
        <w:t xml:space="preserve">The RFR for each DUT was measured at the drum reference point (DRP) </w:t>
      </w:r>
      <w:proofErr w:type="gramStart"/>
      <w:r>
        <w:t>of  Bruel</w:t>
      </w:r>
      <w:proofErr w:type="gramEnd"/>
      <w:r>
        <w:t xml:space="preserve"> &amp; Kjaer Type 5128 HATS. Recordings were captured by a Head Acoustics MFE </w:t>
      </w:r>
      <w:r w:rsidR="00F351B2">
        <w:t>VI</w:t>
      </w:r>
      <w:r>
        <w:t xml:space="preserve"> frontend and analysed </w:t>
      </w:r>
      <w:r w:rsidR="00DE7054">
        <w:t>with</w:t>
      </w:r>
      <w:r>
        <w:t xml:space="preserve"> </w:t>
      </w:r>
      <w:r w:rsidR="00430EA4">
        <w:t xml:space="preserve">a </w:t>
      </w:r>
      <w:r>
        <w:t>Head Acoustics ACQUA</w:t>
      </w:r>
      <w:r w:rsidR="00430EA4">
        <w:t xml:space="preserve"> system</w:t>
      </w:r>
      <w:r>
        <w:t xml:space="preserve">. All recordings </w:t>
      </w:r>
      <w:r w:rsidR="00DB05FF">
        <w:t xml:space="preserve">were DRP-to-ERP (ear reference point) equalized prior to third octave band analysis. </w:t>
      </w:r>
    </w:p>
    <w:p w14:paraId="74F00CEA" w14:textId="6BC2D25D" w:rsidR="00F31E9C" w:rsidRPr="007A7E52" w:rsidRDefault="00F31E9C" w:rsidP="00F31E9C">
      <w:pPr>
        <w:pStyle w:val="ListParagraph"/>
        <w:keepNext/>
        <w:numPr>
          <w:ilvl w:val="0"/>
          <w:numId w:val="1"/>
        </w:numPr>
        <w:rPr>
          <w:sz w:val="24"/>
          <w:szCs w:val="24"/>
        </w:rPr>
      </w:pPr>
      <w:r>
        <w:rPr>
          <w:b/>
          <w:sz w:val="24"/>
          <w:szCs w:val="24"/>
        </w:rPr>
        <w:t>Measurement results</w:t>
      </w:r>
    </w:p>
    <w:p w14:paraId="74B7993D" w14:textId="5F1341B5" w:rsidR="00F31E9C" w:rsidRDefault="005F5CFA" w:rsidP="007A7E52">
      <w:pPr>
        <w:keepNext/>
      </w:pPr>
      <w:r>
        <w:t>All devices were</w:t>
      </w:r>
      <w:r w:rsidR="007A7E52">
        <w:t xml:space="preserve"> measured under two conditions, as described in section 3.1. </w:t>
      </w:r>
      <w:r w:rsidR="00AD6C5F">
        <w:t xml:space="preserve">The transfer function between </w:t>
      </w:r>
      <w:r>
        <w:t xml:space="preserve">the </w:t>
      </w:r>
      <w:r w:rsidR="0066133C">
        <w:t xml:space="preserve">measured </w:t>
      </w:r>
      <w:r w:rsidR="00AD6C5F">
        <w:t>RFR with supports and</w:t>
      </w:r>
      <w:r>
        <w:t xml:space="preserve"> the RFR</w:t>
      </w:r>
      <w:r w:rsidR="00AD6C5F">
        <w:t xml:space="preserve"> without supports was computed</w:t>
      </w:r>
      <w:r>
        <w:t xml:space="preserve"> for each device</w:t>
      </w:r>
      <w:r w:rsidR="00AD6C5F">
        <w:t xml:space="preserve">. </w:t>
      </w:r>
      <w:r w:rsidR="00DC7B7D">
        <w:t xml:space="preserve">Figure </w:t>
      </w:r>
      <w:r w:rsidR="00FD5D5B">
        <w:t>6</w:t>
      </w:r>
      <w:r w:rsidR="00DC7B7D">
        <w:t xml:space="preserve"> </w:t>
      </w:r>
      <w:r w:rsidR="0066133C">
        <w:t>shows the results for all devices, divided between standard and non-standard earpieces.</w:t>
      </w:r>
      <w:r w:rsidR="00AA3442">
        <w:t xml:space="preserve"> Table 2 presents the same data along with the root mean squared error (RMSE).</w:t>
      </w:r>
    </w:p>
    <w:p w14:paraId="1F76A0C2" w14:textId="456F033C" w:rsidR="007A7E52" w:rsidRDefault="007A7E52" w:rsidP="007A7E52">
      <w:pPr>
        <w:pStyle w:val="Caption"/>
        <w:keepNext/>
        <w:jc w:val="center"/>
      </w:pPr>
      <w:r>
        <w:t xml:space="preserve">Figure </w:t>
      </w:r>
      <w:r w:rsidR="00FD5D5B">
        <w:t>6</w:t>
      </w:r>
      <w:r>
        <w:t xml:space="preserve"> – </w:t>
      </w:r>
      <w:r w:rsidR="0010464A">
        <w:t>Comparing device RFR with and without supporting pins</w:t>
      </w:r>
    </w:p>
    <w:p w14:paraId="50FACC5C" w14:textId="5D35EF8A" w:rsidR="00DE7054" w:rsidRDefault="0010464A" w:rsidP="00055702">
      <w:pPr>
        <w:jc w:val="center"/>
      </w:pPr>
      <w:r>
        <w:rPr>
          <w:noProof/>
        </w:rPr>
        <w:drawing>
          <wp:inline distT="0" distB="0" distL="0" distR="0" wp14:anchorId="5D76C7E4" wp14:editId="3BDA8342">
            <wp:extent cx="5134530" cy="2572603"/>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81709" cy="2596242"/>
                    </a:xfrm>
                    <a:prstGeom prst="rect">
                      <a:avLst/>
                    </a:prstGeom>
                    <a:noFill/>
                    <a:ln>
                      <a:noFill/>
                    </a:ln>
                  </pic:spPr>
                </pic:pic>
              </a:graphicData>
            </a:graphic>
          </wp:inline>
        </w:drawing>
      </w:r>
    </w:p>
    <w:p w14:paraId="43797DB2" w14:textId="0AD348AB" w:rsidR="00726663" w:rsidRDefault="00726663" w:rsidP="00726663">
      <w:pPr>
        <w:pStyle w:val="Caption"/>
        <w:keepNext/>
        <w:jc w:val="center"/>
      </w:pPr>
      <w:r>
        <w:lastRenderedPageBreak/>
        <w:t xml:space="preserve">Table 2 – </w:t>
      </w:r>
      <w:r w:rsidR="006266CE">
        <w:t>Comparing device RFR with and without supporting pins</w:t>
      </w:r>
    </w:p>
    <w:p w14:paraId="62F18896" w14:textId="1AF228D1" w:rsidR="00726663" w:rsidRPr="00DE7054" w:rsidRDefault="006266CE" w:rsidP="00726663">
      <w:pPr>
        <w:jc w:val="center"/>
      </w:pPr>
      <w:r w:rsidRPr="006266CE">
        <w:rPr>
          <w:noProof/>
        </w:rPr>
        <w:drawing>
          <wp:inline distT="0" distB="0" distL="0" distR="0" wp14:anchorId="3A601F23" wp14:editId="2FCDDF2B">
            <wp:extent cx="5533441" cy="32829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95652" cy="3319859"/>
                    </a:xfrm>
                    <a:prstGeom prst="rect">
                      <a:avLst/>
                    </a:prstGeom>
                    <a:noFill/>
                    <a:ln>
                      <a:noFill/>
                    </a:ln>
                  </pic:spPr>
                </pic:pic>
              </a:graphicData>
            </a:graphic>
          </wp:inline>
        </w:drawing>
      </w:r>
    </w:p>
    <w:p w14:paraId="7FAB7631" w14:textId="69EC3532" w:rsidR="007A7E52" w:rsidRPr="00A33BF9" w:rsidRDefault="009B2786" w:rsidP="00400B10">
      <w:pPr>
        <w:keepNext/>
      </w:pPr>
      <w:r>
        <w:t xml:space="preserve">It is shown in Figure </w:t>
      </w:r>
      <w:r w:rsidR="00704DE4">
        <w:t>6</w:t>
      </w:r>
      <w:r>
        <w:t xml:space="preserve"> and Table 2 that standard earpiece devices (Prototype 1 and Device 1) </w:t>
      </w:r>
      <w:r w:rsidR="0063415A">
        <w:t xml:space="preserve">demonstrate low levels of variability (&lt; 1dB) as </w:t>
      </w:r>
      <w:r w:rsidR="00400B10">
        <w:t>supporting pins are</w:t>
      </w:r>
      <w:r w:rsidR="0063415A">
        <w:t xml:space="preserve"> added or removed from the back of the device. Devices with a non-standard earpiece (e.g. Prototype 2 and Devices 2-5) tend to </w:t>
      </w:r>
      <w:r w:rsidR="00D95D5B">
        <w:t>demonstrate</w:t>
      </w:r>
      <w:r w:rsidR="0063415A">
        <w:t xml:space="preserve"> </w:t>
      </w:r>
      <w:r w:rsidR="00D95D5B">
        <w:t xml:space="preserve">higher levels of </w:t>
      </w:r>
      <w:r w:rsidR="0063415A">
        <w:t xml:space="preserve">variability (&gt; 2dB), particularly at frequencies below 1.25kHz. Furthermore, the </w:t>
      </w:r>
      <w:r w:rsidR="00400B10">
        <w:t xml:space="preserve">non-standard earpiece </w:t>
      </w:r>
      <w:r w:rsidR="0063415A">
        <w:t xml:space="preserve">variability is </w:t>
      </w:r>
      <w:r w:rsidR="00D95D5B">
        <w:t>device and frequency dependent.</w:t>
      </w:r>
    </w:p>
    <w:p w14:paraId="5E5CEBCC" w14:textId="7696B374" w:rsidR="009C4D80" w:rsidRPr="00400B10" w:rsidRDefault="00F31E9C" w:rsidP="009440EE">
      <w:pPr>
        <w:pStyle w:val="ListParagraph"/>
        <w:keepNext/>
        <w:numPr>
          <w:ilvl w:val="0"/>
          <w:numId w:val="1"/>
        </w:numPr>
        <w:rPr>
          <w:sz w:val="24"/>
          <w:szCs w:val="24"/>
        </w:rPr>
      </w:pPr>
      <w:r>
        <w:rPr>
          <w:b/>
          <w:sz w:val="24"/>
          <w:szCs w:val="24"/>
        </w:rPr>
        <w:t>Conclusion</w:t>
      </w:r>
    </w:p>
    <w:p w14:paraId="0E6F70FD" w14:textId="1CF2A5D6" w:rsidR="00400B10" w:rsidRDefault="00400B10" w:rsidP="00400B10">
      <w:pPr>
        <w:keepNext/>
      </w:pPr>
      <w:r>
        <w:t>The results in section 4 support the hypothesis that the receiver frequency response of a non-standard, vibrating display</w:t>
      </w:r>
      <w:r w:rsidR="00E91FA0">
        <w:t xml:space="preserve"> (</w:t>
      </w:r>
      <w:proofErr w:type="spellStart"/>
      <w:r w:rsidR="00E91FA0">
        <w:t>HaNTE</w:t>
      </w:r>
      <w:proofErr w:type="spellEnd"/>
      <w:r w:rsidR="00E91FA0">
        <w:t>)</w:t>
      </w:r>
      <w:r>
        <w:t xml:space="preserve"> is subject to mounting specific </w:t>
      </w:r>
      <w:r w:rsidR="00B1060C">
        <w:t xml:space="preserve">variability. Furthermore, the decoupled nature of a standard earpiece mitigates such variability. With these results in mind, the source proposes further research into the methods by which devices with a non-standard earpiece are mounted on HATS for RFR measurement. </w:t>
      </w:r>
      <w:r w:rsidR="00E91FA0">
        <w:t>Given that u</w:t>
      </w:r>
      <w:r w:rsidR="00B1060C">
        <w:t>sers may hold their phone in numerous ways, applying variable amounts of force at different points along the front, side, and/or back of the device</w:t>
      </w:r>
      <w:r w:rsidR="00E91FA0">
        <w:t>, an average of different handset support scenarios may be considered</w:t>
      </w:r>
      <w:r w:rsidR="00B1060C">
        <w:t>. Therefore, it may be necessary for future handset positioners to allow for adjustable and quantifiable points of support along the device.</w:t>
      </w:r>
      <w:r w:rsidR="00E91FA0">
        <w:t xml:space="preserve"> </w:t>
      </w:r>
    </w:p>
    <w:p w14:paraId="1D3E023A" w14:textId="72043CD7" w:rsidR="00654A1B" w:rsidRPr="00CE15F9" w:rsidRDefault="00654A1B" w:rsidP="00654A1B">
      <w:pPr>
        <w:pStyle w:val="ListParagraph"/>
        <w:keepNext/>
        <w:numPr>
          <w:ilvl w:val="0"/>
          <w:numId w:val="1"/>
        </w:numPr>
        <w:rPr>
          <w:sz w:val="24"/>
          <w:szCs w:val="24"/>
        </w:rPr>
      </w:pPr>
      <w:r>
        <w:rPr>
          <w:b/>
          <w:sz w:val="24"/>
          <w:szCs w:val="24"/>
        </w:rPr>
        <w:t>Proposal</w:t>
      </w:r>
    </w:p>
    <w:p w14:paraId="23D0D311" w14:textId="524F9A98" w:rsidR="00654A1B" w:rsidRPr="00C5639D" w:rsidRDefault="00CE15F9" w:rsidP="00C5639D">
      <w:r>
        <w:t xml:space="preserve">The source proposes to include sections 1 to </w:t>
      </w:r>
      <w:r w:rsidR="002A1E3D">
        <w:t>5</w:t>
      </w:r>
      <w:r>
        <w:t xml:space="preserve"> of this contribution to the </w:t>
      </w:r>
      <w:proofErr w:type="spellStart"/>
      <w:r>
        <w:t>FS_HaNTE</w:t>
      </w:r>
      <w:proofErr w:type="spellEnd"/>
      <w:r>
        <w:t xml:space="preserve"> technical report.</w:t>
      </w:r>
      <w:bookmarkStart w:id="11" w:name="_GoBack"/>
      <w:bookmarkEnd w:id="11"/>
    </w:p>
    <w:sectPr w:rsidR="00654A1B" w:rsidRPr="00C5639D">
      <w:headerReference w:type="default" r:id="rId18"/>
      <w:footerReference w:type="default" r:id="rId19"/>
      <w:headerReference w:type="first" r:id="rId20"/>
      <w:footerReference w:type="first" r:id="rId21"/>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79EF86" w14:textId="77777777" w:rsidR="004E6D48" w:rsidRDefault="004E6D48" w:rsidP="001F13C6">
      <w:pPr>
        <w:pStyle w:val="WBtabletxt"/>
      </w:pPr>
      <w:r>
        <w:separator/>
      </w:r>
    </w:p>
  </w:endnote>
  <w:endnote w:type="continuationSeparator" w:id="0">
    <w:p w14:paraId="39615F93" w14:textId="77777777" w:rsidR="004E6D48" w:rsidRDefault="004E6D48"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43" w:usb2="00000009" w:usb3="00000000" w:csb0="000001FF" w:csb1="00000000"/>
  </w:font>
  <w:font w:name="BatangChe">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BB321" w14:textId="77777777" w:rsidR="00036005" w:rsidRDefault="00036005">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3A2071">
      <w:rPr>
        <w:rStyle w:val="PageNumber"/>
        <w:b/>
        <w:noProof/>
      </w:rPr>
      <w:t>4</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3A2071">
      <w:rPr>
        <w:rStyle w:val="PageNumber"/>
        <w:b/>
        <w:noProof/>
      </w:rPr>
      <w:t>4</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3D41F" w14:textId="77777777" w:rsidR="00036005" w:rsidRDefault="00036005">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3A2071">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3A2071">
      <w:rPr>
        <w:rStyle w:val="PageNumber"/>
        <w:b/>
        <w:noProof/>
      </w:rPr>
      <w:t>4</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631D0D" w14:textId="77777777" w:rsidR="004E6D48" w:rsidRDefault="004E6D48" w:rsidP="001F13C6">
      <w:pPr>
        <w:pStyle w:val="WBtabletxt"/>
      </w:pPr>
      <w:r>
        <w:separator/>
      </w:r>
    </w:p>
  </w:footnote>
  <w:footnote w:type="continuationSeparator" w:id="0">
    <w:p w14:paraId="147841D0" w14:textId="77777777" w:rsidR="004E6D48" w:rsidRDefault="004E6D48" w:rsidP="001F13C6">
      <w:pPr>
        <w:pStyle w:val="WBtabletx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E7833" w14:textId="77777777" w:rsidR="00036005" w:rsidRDefault="00036005">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9EAEB" w14:textId="73966A38" w:rsidR="00036005" w:rsidRPr="00842BDB" w:rsidRDefault="00036005" w:rsidP="00A66867">
    <w:pPr>
      <w:tabs>
        <w:tab w:val="left" w:pos="4721"/>
        <w:tab w:val="right" w:pos="9356"/>
      </w:tabs>
      <w:spacing w:after="0"/>
      <w:rPr>
        <w:rFonts w:cs="Arial"/>
        <w:b/>
        <w:i/>
        <w:color w:val="000000"/>
        <w:sz w:val="28"/>
        <w:szCs w:val="28"/>
        <w:lang w:val="en-US"/>
      </w:rPr>
    </w:pPr>
    <w:r w:rsidRPr="00842BDB">
      <w:rPr>
        <w:rFonts w:cs="Arial"/>
        <w:lang w:val="en-US"/>
      </w:rPr>
      <w:t>3</w:t>
    </w:r>
    <w:r w:rsidR="00F72680">
      <w:rPr>
        <w:rFonts w:cs="Arial"/>
        <w:lang w:val="en-US"/>
      </w:rPr>
      <w:t>GPP TSG-SA4#10</w:t>
    </w:r>
    <w:r w:rsidR="00DB7EEE">
      <w:rPr>
        <w:rFonts w:cs="Arial"/>
        <w:lang w:val="en-US"/>
      </w:rPr>
      <w:t>4</w:t>
    </w:r>
    <w:r w:rsidRPr="00842BDB">
      <w:rPr>
        <w:rFonts w:cs="Arial"/>
        <w:lang w:val="en-US"/>
      </w:rPr>
      <w:t xml:space="preserve"> meeting</w:t>
    </w:r>
    <w:r w:rsidRPr="00842BDB">
      <w:rPr>
        <w:rFonts w:cs="Arial"/>
        <w:b/>
        <w:i/>
        <w:lang w:val="en-US"/>
      </w:rPr>
      <w:tab/>
    </w:r>
    <w:r w:rsidRPr="00842BDB">
      <w:rPr>
        <w:rFonts w:cs="Arial"/>
        <w:b/>
        <w:i/>
        <w:lang w:val="en-US"/>
      </w:rPr>
      <w:tab/>
    </w:r>
    <w:proofErr w:type="spellStart"/>
    <w:r w:rsidR="005A678B">
      <w:rPr>
        <w:rFonts w:cs="Arial"/>
        <w:b/>
        <w:i/>
        <w:sz w:val="28"/>
        <w:szCs w:val="28"/>
        <w:lang w:val="en-US"/>
      </w:rPr>
      <w:t>Tdoc</w:t>
    </w:r>
    <w:proofErr w:type="spellEnd"/>
    <w:r w:rsidR="005A678B">
      <w:rPr>
        <w:rFonts w:cs="Arial"/>
        <w:b/>
        <w:i/>
        <w:sz w:val="28"/>
        <w:szCs w:val="28"/>
        <w:lang w:val="en-US"/>
      </w:rPr>
      <w:t xml:space="preserve"> </w:t>
    </w:r>
    <w:r w:rsidR="0026030E" w:rsidRPr="0026030E">
      <w:rPr>
        <w:rFonts w:cs="Arial"/>
        <w:b/>
        <w:i/>
        <w:sz w:val="28"/>
        <w:szCs w:val="28"/>
        <w:lang w:val="en-US"/>
      </w:rPr>
      <w:t>S4-</w:t>
    </w:r>
    <w:r w:rsidR="00A93C46">
      <w:rPr>
        <w:rFonts w:cs="Arial"/>
        <w:b/>
        <w:i/>
        <w:sz w:val="28"/>
        <w:szCs w:val="28"/>
        <w:lang w:val="en-US"/>
      </w:rPr>
      <w:t>190682</w:t>
    </w:r>
  </w:p>
  <w:p w14:paraId="2D32C644" w14:textId="4800A934" w:rsidR="00842BDB" w:rsidRPr="00842BDB" w:rsidRDefault="00DB7EEE" w:rsidP="00842BDB">
    <w:pPr>
      <w:tabs>
        <w:tab w:val="right" w:pos="9360"/>
      </w:tabs>
      <w:spacing w:after="0"/>
      <w:rPr>
        <w:rFonts w:cs="Arial"/>
        <w:lang w:val="de-DE" w:eastAsia="zh-CN"/>
      </w:rPr>
    </w:pPr>
    <w:r>
      <w:rPr>
        <w:rFonts w:cs="Arial"/>
        <w:lang w:val="de-DE" w:eastAsia="zh-CN"/>
      </w:rPr>
      <w:t>1</w:t>
    </w:r>
    <w:r w:rsidR="007E1ADC">
      <w:rPr>
        <w:rFonts w:cs="Arial"/>
        <w:lang w:val="de-DE" w:eastAsia="zh-CN"/>
      </w:rPr>
      <w:t xml:space="preserve"> </w:t>
    </w:r>
    <w:r>
      <w:rPr>
        <w:rFonts w:cs="Arial"/>
        <w:lang w:val="de-DE" w:eastAsia="zh-CN"/>
      </w:rPr>
      <w:t>July</w:t>
    </w:r>
    <w:r w:rsidR="00F72680">
      <w:rPr>
        <w:rFonts w:cs="Arial"/>
        <w:lang w:val="de-DE" w:eastAsia="zh-CN"/>
      </w:rPr>
      <w:t xml:space="preserve"> </w:t>
    </w:r>
    <w:r w:rsidR="007E1ADC">
      <w:rPr>
        <w:rFonts w:cs="Arial"/>
        <w:lang w:val="de-DE" w:eastAsia="zh-CN"/>
      </w:rPr>
      <w:t>201</w:t>
    </w:r>
    <w:r w:rsidR="00FE699B">
      <w:rPr>
        <w:rFonts w:cs="Arial"/>
        <w:lang w:val="de-DE" w:eastAsia="zh-CN"/>
      </w:rPr>
      <w:t>9</w:t>
    </w:r>
    <w:r w:rsidR="007E1ADC">
      <w:rPr>
        <w:rFonts w:cs="Arial"/>
        <w:lang w:val="de-DE" w:eastAsia="zh-CN"/>
      </w:rPr>
      <w:t xml:space="preserve"> </w:t>
    </w:r>
    <w:r w:rsidR="00F72680">
      <w:rPr>
        <w:rFonts w:cs="Arial"/>
        <w:lang w:val="de-DE" w:eastAsia="zh-CN"/>
      </w:rPr>
      <w:t xml:space="preserve">– </w:t>
    </w:r>
    <w:r>
      <w:rPr>
        <w:rFonts w:cs="Arial"/>
        <w:lang w:val="de-DE" w:eastAsia="zh-CN"/>
      </w:rPr>
      <w:t>5</w:t>
    </w:r>
    <w:r w:rsidR="00842BDB" w:rsidRPr="00842BDB">
      <w:rPr>
        <w:rFonts w:cs="Arial"/>
        <w:lang w:val="de-DE" w:eastAsia="zh-CN"/>
      </w:rPr>
      <w:t xml:space="preserve"> </w:t>
    </w:r>
    <w:r>
      <w:rPr>
        <w:rFonts w:cs="Arial"/>
        <w:lang w:val="de-DE" w:eastAsia="zh-CN"/>
      </w:rPr>
      <w:t>July</w:t>
    </w:r>
    <w:r w:rsidR="00842BDB" w:rsidRPr="00842BDB">
      <w:rPr>
        <w:rFonts w:cs="Arial"/>
        <w:lang w:val="de-DE" w:eastAsia="zh-CN"/>
      </w:rPr>
      <w:t xml:space="preserve"> 201</w:t>
    </w:r>
    <w:r w:rsidR="007E1ADC">
      <w:rPr>
        <w:rFonts w:cs="Arial"/>
        <w:lang w:val="de-DE" w:eastAsia="zh-CN"/>
      </w:rPr>
      <w:t>9</w:t>
    </w:r>
    <w:r w:rsidR="00842BDB" w:rsidRPr="00842BDB">
      <w:rPr>
        <w:rFonts w:cs="Arial"/>
        <w:lang w:val="de-DE" w:eastAsia="zh-CN"/>
      </w:rPr>
      <w:t xml:space="preserve">, </w:t>
    </w:r>
    <w:r>
      <w:rPr>
        <w:rFonts w:cs="Arial"/>
        <w:lang w:val="de-DE" w:eastAsia="zh-CN"/>
      </w:rPr>
      <w:t>Cork</w:t>
    </w:r>
    <w:r w:rsidR="007E1ADC">
      <w:rPr>
        <w:rFonts w:cs="Arial"/>
        <w:lang w:val="de-DE" w:eastAsia="zh-CN"/>
      </w:rPr>
      <w:t>,</w:t>
    </w:r>
    <w:r>
      <w:rPr>
        <w:rFonts w:cs="Arial"/>
        <w:lang w:val="de-DE" w:eastAsia="zh-CN"/>
      </w:rPr>
      <w:t xml:space="preserve"> Ireland</w:t>
    </w:r>
  </w:p>
  <w:p w14:paraId="7AF62C15" w14:textId="46F7D853" w:rsidR="00036005" w:rsidRPr="00A66867" w:rsidRDefault="00036005" w:rsidP="00842BDB">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C174F2"/>
    <w:multiLevelType w:val="multilevel"/>
    <w:tmpl w:val="909AEA34"/>
    <w:numStyleLink w:val="Style1"/>
  </w:abstractNum>
  <w:abstractNum w:abstractNumId="1" w15:restartNumberingAfterBreak="0">
    <w:nsid w:val="3A156D67"/>
    <w:multiLevelType w:val="multilevel"/>
    <w:tmpl w:val="233AA9B8"/>
    <w:lvl w:ilvl="0">
      <w:start w:val="1"/>
      <w:numFmt w:val="decimal"/>
      <w:lvlText w:val="%1."/>
      <w:lvlJc w:val="left"/>
      <w:pPr>
        <w:ind w:left="360" w:hanging="360"/>
      </w:pPr>
      <w:rPr>
        <w:b/>
        <w:sz w:val="24"/>
        <w:szCs w:val="24"/>
      </w:rPr>
    </w:lvl>
    <w:lvl w:ilvl="1">
      <w:start w:val="1"/>
      <w:numFmt w:val="decimal"/>
      <w:isLgl/>
      <w:lvlText w:val="%1.%2."/>
      <w:lvlJc w:val="left"/>
      <w:pPr>
        <w:ind w:left="720" w:hanging="72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547D0EEA"/>
    <w:multiLevelType w:val="hybridMultilevel"/>
    <w:tmpl w:val="D28E2276"/>
    <w:lvl w:ilvl="0" w:tplc="AE3EF150">
      <w:numFmt w:val="bullet"/>
      <w:lvlText w:val="-"/>
      <w:lvlJc w:val="left"/>
      <w:pPr>
        <w:ind w:left="360" w:hanging="360"/>
      </w:pPr>
      <w:rPr>
        <w:rFonts w:ascii="Arial" w:eastAsia="Times New Roman" w:hAnsi="Arial" w:cs="Arial" w:hint="default"/>
      </w:rPr>
    </w:lvl>
    <w:lvl w:ilvl="1" w:tplc="AE3EF15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72B426EE"/>
    <w:multiLevelType w:val="multilevel"/>
    <w:tmpl w:val="909AEA34"/>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3"/>
  </w:num>
  <w:num w:numId="3">
    <w:abstractNumId w:val="0"/>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0867"/>
    <w:rsid w:val="0000408D"/>
    <w:rsid w:val="0000698D"/>
    <w:rsid w:val="00006B8A"/>
    <w:rsid w:val="00010D21"/>
    <w:rsid w:val="00011D96"/>
    <w:rsid w:val="00012214"/>
    <w:rsid w:val="00015CC1"/>
    <w:rsid w:val="0001684B"/>
    <w:rsid w:val="00016F70"/>
    <w:rsid w:val="00017650"/>
    <w:rsid w:val="0002190A"/>
    <w:rsid w:val="00022F0D"/>
    <w:rsid w:val="000269C4"/>
    <w:rsid w:val="00032C6F"/>
    <w:rsid w:val="00034DB9"/>
    <w:rsid w:val="00035144"/>
    <w:rsid w:val="00036005"/>
    <w:rsid w:val="00040F3A"/>
    <w:rsid w:val="00041B56"/>
    <w:rsid w:val="000458E0"/>
    <w:rsid w:val="00053D73"/>
    <w:rsid w:val="00054506"/>
    <w:rsid w:val="00055702"/>
    <w:rsid w:val="000561A7"/>
    <w:rsid w:val="000577A4"/>
    <w:rsid w:val="00057F29"/>
    <w:rsid w:val="000603A8"/>
    <w:rsid w:val="0006061C"/>
    <w:rsid w:val="00064153"/>
    <w:rsid w:val="00064883"/>
    <w:rsid w:val="00067161"/>
    <w:rsid w:val="00067F85"/>
    <w:rsid w:val="00070D5A"/>
    <w:rsid w:val="00071179"/>
    <w:rsid w:val="00073BCF"/>
    <w:rsid w:val="000742DC"/>
    <w:rsid w:val="00074DD2"/>
    <w:rsid w:val="00074ED8"/>
    <w:rsid w:val="00075C1B"/>
    <w:rsid w:val="00077464"/>
    <w:rsid w:val="00081314"/>
    <w:rsid w:val="00081958"/>
    <w:rsid w:val="000823E3"/>
    <w:rsid w:val="00085335"/>
    <w:rsid w:val="00087451"/>
    <w:rsid w:val="00087AC9"/>
    <w:rsid w:val="00096F14"/>
    <w:rsid w:val="000971B4"/>
    <w:rsid w:val="000A0326"/>
    <w:rsid w:val="000A27AF"/>
    <w:rsid w:val="000A2AA3"/>
    <w:rsid w:val="000A563A"/>
    <w:rsid w:val="000A75BF"/>
    <w:rsid w:val="000B1CE1"/>
    <w:rsid w:val="000B2BE4"/>
    <w:rsid w:val="000B3ED8"/>
    <w:rsid w:val="000B448A"/>
    <w:rsid w:val="000B7276"/>
    <w:rsid w:val="000B7DE9"/>
    <w:rsid w:val="000C05E9"/>
    <w:rsid w:val="000C0BA7"/>
    <w:rsid w:val="000C1EBC"/>
    <w:rsid w:val="000C2958"/>
    <w:rsid w:val="000C4B23"/>
    <w:rsid w:val="000C5604"/>
    <w:rsid w:val="000C5722"/>
    <w:rsid w:val="000C5BF9"/>
    <w:rsid w:val="000C6DDE"/>
    <w:rsid w:val="000D3692"/>
    <w:rsid w:val="000D3D09"/>
    <w:rsid w:val="000E0BAF"/>
    <w:rsid w:val="000E2AED"/>
    <w:rsid w:val="000E5710"/>
    <w:rsid w:val="000E61CD"/>
    <w:rsid w:val="000E6471"/>
    <w:rsid w:val="000F1439"/>
    <w:rsid w:val="000F1AC9"/>
    <w:rsid w:val="000F3F1C"/>
    <w:rsid w:val="000F5953"/>
    <w:rsid w:val="000F6343"/>
    <w:rsid w:val="000F7EF2"/>
    <w:rsid w:val="001030A8"/>
    <w:rsid w:val="001036F7"/>
    <w:rsid w:val="0010464A"/>
    <w:rsid w:val="00104D2E"/>
    <w:rsid w:val="00111813"/>
    <w:rsid w:val="001139ED"/>
    <w:rsid w:val="001146E6"/>
    <w:rsid w:val="00121D40"/>
    <w:rsid w:val="001225D9"/>
    <w:rsid w:val="001234E7"/>
    <w:rsid w:val="0012541B"/>
    <w:rsid w:val="001329DE"/>
    <w:rsid w:val="00133444"/>
    <w:rsid w:val="001356DB"/>
    <w:rsid w:val="0013618E"/>
    <w:rsid w:val="00136591"/>
    <w:rsid w:val="00140F40"/>
    <w:rsid w:val="00143F75"/>
    <w:rsid w:val="00146C4B"/>
    <w:rsid w:val="0015092B"/>
    <w:rsid w:val="00154B99"/>
    <w:rsid w:val="001561BD"/>
    <w:rsid w:val="0015711E"/>
    <w:rsid w:val="001604F5"/>
    <w:rsid w:val="00161011"/>
    <w:rsid w:val="001612A9"/>
    <w:rsid w:val="001651A1"/>
    <w:rsid w:val="00172685"/>
    <w:rsid w:val="00174141"/>
    <w:rsid w:val="00175EA6"/>
    <w:rsid w:val="00177D8A"/>
    <w:rsid w:val="00180B78"/>
    <w:rsid w:val="00185144"/>
    <w:rsid w:val="00186A21"/>
    <w:rsid w:val="00186DA0"/>
    <w:rsid w:val="00187916"/>
    <w:rsid w:val="00190902"/>
    <w:rsid w:val="00190EBD"/>
    <w:rsid w:val="0019168B"/>
    <w:rsid w:val="00191E83"/>
    <w:rsid w:val="00192225"/>
    <w:rsid w:val="00193381"/>
    <w:rsid w:val="001946F3"/>
    <w:rsid w:val="00197659"/>
    <w:rsid w:val="001A282A"/>
    <w:rsid w:val="001A4002"/>
    <w:rsid w:val="001A45C8"/>
    <w:rsid w:val="001A4D4E"/>
    <w:rsid w:val="001A501D"/>
    <w:rsid w:val="001A56EE"/>
    <w:rsid w:val="001B40D8"/>
    <w:rsid w:val="001B600F"/>
    <w:rsid w:val="001C01AA"/>
    <w:rsid w:val="001C022C"/>
    <w:rsid w:val="001D08FB"/>
    <w:rsid w:val="001D5685"/>
    <w:rsid w:val="001D588E"/>
    <w:rsid w:val="001D5899"/>
    <w:rsid w:val="001D6B16"/>
    <w:rsid w:val="001E0DBB"/>
    <w:rsid w:val="001E2A2D"/>
    <w:rsid w:val="001E3ABC"/>
    <w:rsid w:val="001E3D3E"/>
    <w:rsid w:val="001E3F10"/>
    <w:rsid w:val="001E5CE4"/>
    <w:rsid w:val="001E63E9"/>
    <w:rsid w:val="001F0BF4"/>
    <w:rsid w:val="001F13C6"/>
    <w:rsid w:val="001F29DD"/>
    <w:rsid w:val="001F36E7"/>
    <w:rsid w:val="001F3D76"/>
    <w:rsid w:val="001F7BC5"/>
    <w:rsid w:val="00200926"/>
    <w:rsid w:val="00202250"/>
    <w:rsid w:val="00205F93"/>
    <w:rsid w:val="00206CFB"/>
    <w:rsid w:val="002070A5"/>
    <w:rsid w:val="00211848"/>
    <w:rsid w:val="002131BF"/>
    <w:rsid w:val="0021358D"/>
    <w:rsid w:val="002147DE"/>
    <w:rsid w:val="00215889"/>
    <w:rsid w:val="00215A2C"/>
    <w:rsid w:val="00216064"/>
    <w:rsid w:val="002170E7"/>
    <w:rsid w:val="002250DA"/>
    <w:rsid w:val="00235204"/>
    <w:rsid w:val="00235ABC"/>
    <w:rsid w:val="00235BE2"/>
    <w:rsid w:val="00236BE7"/>
    <w:rsid w:val="002377DB"/>
    <w:rsid w:val="00237AF4"/>
    <w:rsid w:val="002411BC"/>
    <w:rsid w:val="00241EFF"/>
    <w:rsid w:val="002431D9"/>
    <w:rsid w:val="00243215"/>
    <w:rsid w:val="00243A5D"/>
    <w:rsid w:val="002447C0"/>
    <w:rsid w:val="00245620"/>
    <w:rsid w:val="002456B7"/>
    <w:rsid w:val="00250580"/>
    <w:rsid w:val="002523C0"/>
    <w:rsid w:val="0026030E"/>
    <w:rsid w:val="002633C9"/>
    <w:rsid w:val="00263F1B"/>
    <w:rsid w:val="002644B2"/>
    <w:rsid w:val="00266D35"/>
    <w:rsid w:val="00276613"/>
    <w:rsid w:val="00276CA8"/>
    <w:rsid w:val="002776F9"/>
    <w:rsid w:val="00277C22"/>
    <w:rsid w:val="002818DB"/>
    <w:rsid w:val="00285E15"/>
    <w:rsid w:val="002868B3"/>
    <w:rsid w:val="00286C25"/>
    <w:rsid w:val="0028761A"/>
    <w:rsid w:val="002877A3"/>
    <w:rsid w:val="002909E1"/>
    <w:rsid w:val="0029254C"/>
    <w:rsid w:val="00292706"/>
    <w:rsid w:val="00292F3B"/>
    <w:rsid w:val="00294D24"/>
    <w:rsid w:val="00295D35"/>
    <w:rsid w:val="00297836"/>
    <w:rsid w:val="002A021D"/>
    <w:rsid w:val="002A119D"/>
    <w:rsid w:val="002A1E3D"/>
    <w:rsid w:val="002A2376"/>
    <w:rsid w:val="002A306D"/>
    <w:rsid w:val="002A5542"/>
    <w:rsid w:val="002B02CE"/>
    <w:rsid w:val="002B071C"/>
    <w:rsid w:val="002B2240"/>
    <w:rsid w:val="002B3AEA"/>
    <w:rsid w:val="002B4F7B"/>
    <w:rsid w:val="002B5F0A"/>
    <w:rsid w:val="002B6172"/>
    <w:rsid w:val="002C34E6"/>
    <w:rsid w:val="002C3D9C"/>
    <w:rsid w:val="002C401E"/>
    <w:rsid w:val="002D30DC"/>
    <w:rsid w:val="002D317A"/>
    <w:rsid w:val="002D4D1C"/>
    <w:rsid w:val="002D6B04"/>
    <w:rsid w:val="002D6D8F"/>
    <w:rsid w:val="002D7226"/>
    <w:rsid w:val="002E2188"/>
    <w:rsid w:val="002E32B9"/>
    <w:rsid w:val="002E4A7C"/>
    <w:rsid w:val="002E5023"/>
    <w:rsid w:val="002F0B28"/>
    <w:rsid w:val="002F2E76"/>
    <w:rsid w:val="002F4DA1"/>
    <w:rsid w:val="002F56A2"/>
    <w:rsid w:val="002F58BB"/>
    <w:rsid w:val="002F7966"/>
    <w:rsid w:val="002F7C36"/>
    <w:rsid w:val="0030236F"/>
    <w:rsid w:val="003026E6"/>
    <w:rsid w:val="00303197"/>
    <w:rsid w:val="0030469E"/>
    <w:rsid w:val="00305B7B"/>
    <w:rsid w:val="00306645"/>
    <w:rsid w:val="003069E8"/>
    <w:rsid w:val="00313309"/>
    <w:rsid w:val="00314CDD"/>
    <w:rsid w:val="003208BC"/>
    <w:rsid w:val="00320C34"/>
    <w:rsid w:val="0032163A"/>
    <w:rsid w:val="00322D72"/>
    <w:rsid w:val="003232C9"/>
    <w:rsid w:val="00326125"/>
    <w:rsid w:val="003264AC"/>
    <w:rsid w:val="00326A63"/>
    <w:rsid w:val="0033078A"/>
    <w:rsid w:val="00330EE8"/>
    <w:rsid w:val="00331881"/>
    <w:rsid w:val="00332F35"/>
    <w:rsid w:val="003333B7"/>
    <w:rsid w:val="0033362E"/>
    <w:rsid w:val="00333686"/>
    <w:rsid w:val="003339F3"/>
    <w:rsid w:val="003340D4"/>
    <w:rsid w:val="00335680"/>
    <w:rsid w:val="0034218E"/>
    <w:rsid w:val="003441A0"/>
    <w:rsid w:val="00345955"/>
    <w:rsid w:val="00346938"/>
    <w:rsid w:val="00346FC2"/>
    <w:rsid w:val="003476E7"/>
    <w:rsid w:val="00350B75"/>
    <w:rsid w:val="0035351E"/>
    <w:rsid w:val="003554E7"/>
    <w:rsid w:val="0035697D"/>
    <w:rsid w:val="00362982"/>
    <w:rsid w:val="0036565D"/>
    <w:rsid w:val="0036630D"/>
    <w:rsid w:val="00366765"/>
    <w:rsid w:val="00370E9A"/>
    <w:rsid w:val="003715B0"/>
    <w:rsid w:val="0037213C"/>
    <w:rsid w:val="00373264"/>
    <w:rsid w:val="003746D4"/>
    <w:rsid w:val="00374D89"/>
    <w:rsid w:val="003754FE"/>
    <w:rsid w:val="00376C9F"/>
    <w:rsid w:val="00380977"/>
    <w:rsid w:val="00380CF5"/>
    <w:rsid w:val="00381147"/>
    <w:rsid w:val="00385A7E"/>
    <w:rsid w:val="00385B72"/>
    <w:rsid w:val="00387DF7"/>
    <w:rsid w:val="00391009"/>
    <w:rsid w:val="00392920"/>
    <w:rsid w:val="00392AE8"/>
    <w:rsid w:val="003A0B91"/>
    <w:rsid w:val="003A2071"/>
    <w:rsid w:val="003A5BE5"/>
    <w:rsid w:val="003A6608"/>
    <w:rsid w:val="003B04A1"/>
    <w:rsid w:val="003C2FED"/>
    <w:rsid w:val="003C5A73"/>
    <w:rsid w:val="003C6194"/>
    <w:rsid w:val="003C6CFF"/>
    <w:rsid w:val="003C7971"/>
    <w:rsid w:val="003D040A"/>
    <w:rsid w:val="003D0E58"/>
    <w:rsid w:val="003D17E2"/>
    <w:rsid w:val="003D19E2"/>
    <w:rsid w:val="003D1CA9"/>
    <w:rsid w:val="003D38EA"/>
    <w:rsid w:val="003D3D31"/>
    <w:rsid w:val="003D4478"/>
    <w:rsid w:val="003D507C"/>
    <w:rsid w:val="003D5A29"/>
    <w:rsid w:val="003D5A99"/>
    <w:rsid w:val="003D625D"/>
    <w:rsid w:val="003D75B7"/>
    <w:rsid w:val="003E2F2F"/>
    <w:rsid w:val="003E3FD9"/>
    <w:rsid w:val="003F1812"/>
    <w:rsid w:val="003F34C8"/>
    <w:rsid w:val="003F4D39"/>
    <w:rsid w:val="003F6C31"/>
    <w:rsid w:val="003F7A91"/>
    <w:rsid w:val="003F7DCB"/>
    <w:rsid w:val="003F7F0C"/>
    <w:rsid w:val="00400A8A"/>
    <w:rsid w:val="00400B10"/>
    <w:rsid w:val="00402D98"/>
    <w:rsid w:val="004044CB"/>
    <w:rsid w:val="0040482A"/>
    <w:rsid w:val="004065E6"/>
    <w:rsid w:val="00407DAB"/>
    <w:rsid w:val="004104E1"/>
    <w:rsid w:val="00410531"/>
    <w:rsid w:val="004147A9"/>
    <w:rsid w:val="00415C06"/>
    <w:rsid w:val="004249DF"/>
    <w:rsid w:val="0042514B"/>
    <w:rsid w:val="00425520"/>
    <w:rsid w:val="00427FAD"/>
    <w:rsid w:val="00430C3B"/>
    <w:rsid w:val="00430E05"/>
    <w:rsid w:val="00430EA4"/>
    <w:rsid w:val="00430F32"/>
    <w:rsid w:val="004315E9"/>
    <w:rsid w:val="0043266D"/>
    <w:rsid w:val="00432A2D"/>
    <w:rsid w:val="00434932"/>
    <w:rsid w:val="00434E3B"/>
    <w:rsid w:val="004354CF"/>
    <w:rsid w:val="00435F5F"/>
    <w:rsid w:val="00440AFD"/>
    <w:rsid w:val="0044413D"/>
    <w:rsid w:val="0044559E"/>
    <w:rsid w:val="00446655"/>
    <w:rsid w:val="004503D0"/>
    <w:rsid w:val="004514E3"/>
    <w:rsid w:val="0046332E"/>
    <w:rsid w:val="0046351A"/>
    <w:rsid w:val="0046465B"/>
    <w:rsid w:val="00465DA7"/>
    <w:rsid w:val="00466A30"/>
    <w:rsid w:val="00466F4D"/>
    <w:rsid w:val="004712A0"/>
    <w:rsid w:val="00471367"/>
    <w:rsid w:val="00471436"/>
    <w:rsid w:val="00472A23"/>
    <w:rsid w:val="004737E5"/>
    <w:rsid w:val="00474B82"/>
    <w:rsid w:val="00477EC2"/>
    <w:rsid w:val="00477F80"/>
    <w:rsid w:val="004802F2"/>
    <w:rsid w:val="004808AF"/>
    <w:rsid w:val="0048720D"/>
    <w:rsid w:val="004900A1"/>
    <w:rsid w:val="00492477"/>
    <w:rsid w:val="00493090"/>
    <w:rsid w:val="00493099"/>
    <w:rsid w:val="00494453"/>
    <w:rsid w:val="00494A22"/>
    <w:rsid w:val="004967C2"/>
    <w:rsid w:val="00497E1B"/>
    <w:rsid w:val="004A1100"/>
    <w:rsid w:val="004A2F07"/>
    <w:rsid w:val="004B1EEB"/>
    <w:rsid w:val="004B350F"/>
    <w:rsid w:val="004B371D"/>
    <w:rsid w:val="004B66EC"/>
    <w:rsid w:val="004B76FB"/>
    <w:rsid w:val="004C0787"/>
    <w:rsid w:val="004C1997"/>
    <w:rsid w:val="004C23F7"/>
    <w:rsid w:val="004C48BE"/>
    <w:rsid w:val="004C716F"/>
    <w:rsid w:val="004D0B05"/>
    <w:rsid w:val="004D1619"/>
    <w:rsid w:val="004D2DA5"/>
    <w:rsid w:val="004D42DA"/>
    <w:rsid w:val="004D58F4"/>
    <w:rsid w:val="004D6257"/>
    <w:rsid w:val="004D63DB"/>
    <w:rsid w:val="004E017A"/>
    <w:rsid w:val="004E1C67"/>
    <w:rsid w:val="004E2997"/>
    <w:rsid w:val="004E5487"/>
    <w:rsid w:val="004E56EC"/>
    <w:rsid w:val="004E64BE"/>
    <w:rsid w:val="004E6D48"/>
    <w:rsid w:val="004E7651"/>
    <w:rsid w:val="004E7DC4"/>
    <w:rsid w:val="004F01D6"/>
    <w:rsid w:val="004F4DAF"/>
    <w:rsid w:val="004F7501"/>
    <w:rsid w:val="00500052"/>
    <w:rsid w:val="00500BFA"/>
    <w:rsid w:val="00501AAB"/>
    <w:rsid w:val="00503698"/>
    <w:rsid w:val="00506802"/>
    <w:rsid w:val="00510734"/>
    <w:rsid w:val="0051134F"/>
    <w:rsid w:val="00517C80"/>
    <w:rsid w:val="005212A4"/>
    <w:rsid w:val="00521655"/>
    <w:rsid w:val="0052291E"/>
    <w:rsid w:val="00522A43"/>
    <w:rsid w:val="00524E71"/>
    <w:rsid w:val="0052602B"/>
    <w:rsid w:val="00526CC7"/>
    <w:rsid w:val="00530C2C"/>
    <w:rsid w:val="005316B0"/>
    <w:rsid w:val="00534A42"/>
    <w:rsid w:val="00537B3E"/>
    <w:rsid w:val="00540EB3"/>
    <w:rsid w:val="00543AD1"/>
    <w:rsid w:val="005445C0"/>
    <w:rsid w:val="00546AB7"/>
    <w:rsid w:val="00551C65"/>
    <w:rsid w:val="00552BD2"/>
    <w:rsid w:val="005533FF"/>
    <w:rsid w:val="00553635"/>
    <w:rsid w:val="005537F2"/>
    <w:rsid w:val="00553E4B"/>
    <w:rsid w:val="005552FF"/>
    <w:rsid w:val="00557C0C"/>
    <w:rsid w:val="00562A28"/>
    <w:rsid w:val="005634FC"/>
    <w:rsid w:val="0056696A"/>
    <w:rsid w:val="00574C1A"/>
    <w:rsid w:val="00580918"/>
    <w:rsid w:val="00582288"/>
    <w:rsid w:val="00582DD1"/>
    <w:rsid w:val="00584118"/>
    <w:rsid w:val="0058565E"/>
    <w:rsid w:val="0058572E"/>
    <w:rsid w:val="00586058"/>
    <w:rsid w:val="005873AD"/>
    <w:rsid w:val="00587AA2"/>
    <w:rsid w:val="0059135B"/>
    <w:rsid w:val="005951B3"/>
    <w:rsid w:val="00596321"/>
    <w:rsid w:val="00596D6F"/>
    <w:rsid w:val="00596EC1"/>
    <w:rsid w:val="005A48EC"/>
    <w:rsid w:val="005A678B"/>
    <w:rsid w:val="005A6F93"/>
    <w:rsid w:val="005A7791"/>
    <w:rsid w:val="005B36CE"/>
    <w:rsid w:val="005B5DAC"/>
    <w:rsid w:val="005B6A41"/>
    <w:rsid w:val="005B7CE5"/>
    <w:rsid w:val="005C0A0A"/>
    <w:rsid w:val="005C29E7"/>
    <w:rsid w:val="005C2CB2"/>
    <w:rsid w:val="005C42BA"/>
    <w:rsid w:val="005C4C22"/>
    <w:rsid w:val="005C7C20"/>
    <w:rsid w:val="005D1C91"/>
    <w:rsid w:val="005D6628"/>
    <w:rsid w:val="005D6DB3"/>
    <w:rsid w:val="005E011D"/>
    <w:rsid w:val="005E012A"/>
    <w:rsid w:val="005E051F"/>
    <w:rsid w:val="005E052F"/>
    <w:rsid w:val="005E0CD9"/>
    <w:rsid w:val="005E10FD"/>
    <w:rsid w:val="005E1AEE"/>
    <w:rsid w:val="005E3A66"/>
    <w:rsid w:val="005E4F10"/>
    <w:rsid w:val="005E5678"/>
    <w:rsid w:val="005E60DB"/>
    <w:rsid w:val="005E7493"/>
    <w:rsid w:val="005F1F01"/>
    <w:rsid w:val="005F5289"/>
    <w:rsid w:val="005F5444"/>
    <w:rsid w:val="005F5CFA"/>
    <w:rsid w:val="005F5EB1"/>
    <w:rsid w:val="00600988"/>
    <w:rsid w:val="0060286E"/>
    <w:rsid w:val="0060455D"/>
    <w:rsid w:val="00610560"/>
    <w:rsid w:val="0062031F"/>
    <w:rsid w:val="0062038B"/>
    <w:rsid w:val="00620396"/>
    <w:rsid w:val="00621201"/>
    <w:rsid w:val="00621928"/>
    <w:rsid w:val="00622C75"/>
    <w:rsid w:val="00625B7D"/>
    <w:rsid w:val="006266CE"/>
    <w:rsid w:val="00626FFA"/>
    <w:rsid w:val="00630336"/>
    <w:rsid w:val="00631619"/>
    <w:rsid w:val="00631E89"/>
    <w:rsid w:val="00632765"/>
    <w:rsid w:val="00634118"/>
    <w:rsid w:val="0063415A"/>
    <w:rsid w:val="006348E6"/>
    <w:rsid w:val="006355FB"/>
    <w:rsid w:val="006361D6"/>
    <w:rsid w:val="0063647F"/>
    <w:rsid w:val="00637C3B"/>
    <w:rsid w:val="00640F7D"/>
    <w:rsid w:val="00641BFA"/>
    <w:rsid w:val="00641EC2"/>
    <w:rsid w:val="00643587"/>
    <w:rsid w:val="0064533B"/>
    <w:rsid w:val="0064583B"/>
    <w:rsid w:val="00645E5A"/>
    <w:rsid w:val="0064722C"/>
    <w:rsid w:val="00647ECA"/>
    <w:rsid w:val="006527F9"/>
    <w:rsid w:val="00653D01"/>
    <w:rsid w:val="00654032"/>
    <w:rsid w:val="006544E4"/>
    <w:rsid w:val="006544F7"/>
    <w:rsid w:val="00654A1B"/>
    <w:rsid w:val="00655B51"/>
    <w:rsid w:val="00657009"/>
    <w:rsid w:val="006573C5"/>
    <w:rsid w:val="00657E0A"/>
    <w:rsid w:val="006606CC"/>
    <w:rsid w:val="00660CA2"/>
    <w:rsid w:val="0066133C"/>
    <w:rsid w:val="006623E5"/>
    <w:rsid w:val="00665475"/>
    <w:rsid w:val="00666068"/>
    <w:rsid w:val="00667642"/>
    <w:rsid w:val="00671A4B"/>
    <w:rsid w:val="00671DFC"/>
    <w:rsid w:val="006732BC"/>
    <w:rsid w:val="00674962"/>
    <w:rsid w:val="00674C7F"/>
    <w:rsid w:val="006761CB"/>
    <w:rsid w:val="00677952"/>
    <w:rsid w:val="006822C7"/>
    <w:rsid w:val="00685DF5"/>
    <w:rsid w:val="00690F0B"/>
    <w:rsid w:val="00691B02"/>
    <w:rsid w:val="006923EB"/>
    <w:rsid w:val="006926BD"/>
    <w:rsid w:val="00692FBB"/>
    <w:rsid w:val="00694EAD"/>
    <w:rsid w:val="00695EAA"/>
    <w:rsid w:val="00697CF9"/>
    <w:rsid w:val="006A4DC5"/>
    <w:rsid w:val="006A6CD1"/>
    <w:rsid w:val="006A6E12"/>
    <w:rsid w:val="006A7261"/>
    <w:rsid w:val="006B10D7"/>
    <w:rsid w:val="006B1B77"/>
    <w:rsid w:val="006B67DD"/>
    <w:rsid w:val="006B69E1"/>
    <w:rsid w:val="006B7130"/>
    <w:rsid w:val="006C0A16"/>
    <w:rsid w:val="006C1FCB"/>
    <w:rsid w:val="006C2EBC"/>
    <w:rsid w:val="006C4547"/>
    <w:rsid w:val="006C57A5"/>
    <w:rsid w:val="006D0397"/>
    <w:rsid w:val="006D0A06"/>
    <w:rsid w:val="006D14F7"/>
    <w:rsid w:val="006D6133"/>
    <w:rsid w:val="006D62EA"/>
    <w:rsid w:val="006D679D"/>
    <w:rsid w:val="006D7284"/>
    <w:rsid w:val="006E28B5"/>
    <w:rsid w:val="006E3F37"/>
    <w:rsid w:val="006E47C7"/>
    <w:rsid w:val="006E684D"/>
    <w:rsid w:val="006E6FEF"/>
    <w:rsid w:val="006F12F6"/>
    <w:rsid w:val="006F31A9"/>
    <w:rsid w:val="006F6B6D"/>
    <w:rsid w:val="0070003F"/>
    <w:rsid w:val="0070199A"/>
    <w:rsid w:val="00702C0B"/>
    <w:rsid w:val="007032D1"/>
    <w:rsid w:val="007049B2"/>
    <w:rsid w:val="00704DE4"/>
    <w:rsid w:val="00705B4B"/>
    <w:rsid w:val="007061AB"/>
    <w:rsid w:val="0070667A"/>
    <w:rsid w:val="00706FCC"/>
    <w:rsid w:val="007107DE"/>
    <w:rsid w:val="00710B4D"/>
    <w:rsid w:val="00711B3F"/>
    <w:rsid w:val="00715827"/>
    <w:rsid w:val="007159BC"/>
    <w:rsid w:val="00716CD8"/>
    <w:rsid w:val="00716F20"/>
    <w:rsid w:val="00716FEB"/>
    <w:rsid w:val="00717888"/>
    <w:rsid w:val="00724E2E"/>
    <w:rsid w:val="00726663"/>
    <w:rsid w:val="0073404E"/>
    <w:rsid w:val="00734772"/>
    <w:rsid w:val="007357F4"/>
    <w:rsid w:val="00735DDE"/>
    <w:rsid w:val="007403BF"/>
    <w:rsid w:val="007428D0"/>
    <w:rsid w:val="00745052"/>
    <w:rsid w:val="00746284"/>
    <w:rsid w:val="00746FD7"/>
    <w:rsid w:val="00751EC5"/>
    <w:rsid w:val="007548FC"/>
    <w:rsid w:val="00755BB3"/>
    <w:rsid w:val="00760612"/>
    <w:rsid w:val="00760BEB"/>
    <w:rsid w:val="0076317E"/>
    <w:rsid w:val="0076485A"/>
    <w:rsid w:val="0076765B"/>
    <w:rsid w:val="00771CEC"/>
    <w:rsid w:val="00772652"/>
    <w:rsid w:val="00773EAD"/>
    <w:rsid w:val="00775687"/>
    <w:rsid w:val="00776D15"/>
    <w:rsid w:val="00780959"/>
    <w:rsid w:val="0078275B"/>
    <w:rsid w:val="0078404A"/>
    <w:rsid w:val="007853B1"/>
    <w:rsid w:val="00785513"/>
    <w:rsid w:val="00785E7E"/>
    <w:rsid w:val="007904D1"/>
    <w:rsid w:val="00794447"/>
    <w:rsid w:val="007955D6"/>
    <w:rsid w:val="007975CA"/>
    <w:rsid w:val="00797DE4"/>
    <w:rsid w:val="007A0080"/>
    <w:rsid w:val="007A312D"/>
    <w:rsid w:val="007A36CC"/>
    <w:rsid w:val="007A7E52"/>
    <w:rsid w:val="007B0782"/>
    <w:rsid w:val="007B212E"/>
    <w:rsid w:val="007B3C9C"/>
    <w:rsid w:val="007B44C8"/>
    <w:rsid w:val="007B50CA"/>
    <w:rsid w:val="007B5A9B"/>
    <w:rsid w:val="007B61BA"/>
    <w:rsid w:val="007B62DC"/>
    <w:rsid w:val="007B67EA"/>
    <w:rsid w:val="007C0EF8"/>
    <w:rsid w:val="007C1739"/>
    <w:rsid w:val="007C2F1F"/>
    <w:rsid w:val="007C35DB"/>
    <w:rsid w:val="007C4059"/>
    <w:rsid w:val="007C43DA"/>
    <w:rsid w:val="007C45E3"/>
    <w:rsid w:val="007C4EF5"/>
    <w:rsid w:val="007C79A4"/>
    <w:rsid w:val="007C7AFC"/>
    <w:rsid w:val="007D0631"/>
    <w:rsid w:val="007D1004"/>
    <w:rsid w:val="007D1930"/>
    <w:rsid w:val="007D2D6D"/>
    <w:rsid w:val="007D4EF5"/>
    <w:rsid w:val="007D5EAA"/>
    <w:rsid w:val="007D6300"/>
    <w:rsid w:val="007E00BD"/>
    <w:rsid w:val="007E052A"/>
    <w:rsid w:val="007E0F2A"/>
    <w:rsid w:val="007E1ADC"/>
    <w:rsid w:val="007E1EA0"/>
    <w:rsid w:val="007E2C32"/>
    <w:rsid w:val="007E33EC"/>
    <w:rsid w:val="007E4627"/>
    <w:rsid w:val="007E75D1"/>
    <w:rsid w:val="007F06EF"/>
    <w:rsid w:val="007F5FD0"/>
    <w:rsid w:val="007F646F"/>
    <w:rsid w:val="00803B5B"/>
    <w:rsid w:val="00804081"/>
    <w:rsid w:val="00805940"/>
    <w:rsid w:val="00810C24"/>
    <w:rsid w:val="00811145"/>
    <w:rsid w:val="0081139D"/>
    <w:rsid w:val="0081159D"/>
    <w:rsid w:val="008134B4"/>
    <w:rsid w:val="0081419F"/>
    <w:rsid w:val="008152F8"/>
    <w:rsid w:val="00821C16"/>
    <w:rsid w:val="00822BD5"/>
    <w:rsid w:val="008243FA"/>
    <w:rsid w:val="00826F28"/>
    <w:rsid w:val="008307B6"/>
    <w:rsid w:val="00837CD2"/>
    <w:rsid w:val="00840A23"/>
    <w:rsid w:val="0084139B"/>
    <w:rsid w:val="00842BDB"/>
    <w:rsid w:val="00842E3A"/>
    <w:rsid w:val="0084330B"/>
    <w:rsid w:val="0084666E"/>
    <w:rsid w:val="00851BC2"/>
    <w:rsid w:val="00852F6F"/>
    <w:rsid w:val="008538ED"/>
    <w:rsid w:val="008562FC"/>
    <w:rsid w:val="008658ED"/>
    <w:rsid w:val="00867F08"/>
    <w:rsid w:val="00871EC8"/>
    <w:rsid w:val="0087215F"/>
    <w:rsid w:val="0087533E"/>
    <w:rsid w:val="00876119"/>
    <w:rsid w:val="00883166"/>
    <w:rsid w:val="008838CC"/>
    <w:rsid w:val="0088436D"/>
    <w:rsid w:val="00885AC5"/>
    <w:rsid w:val="00885E94"/>
    <w:rsid w:val="0089128C"/>
    <w:rsid w:val="008928B1"/>
    <w:rsid w:val="0089419A"/>
    <w:rsid w:val="008952D7"/>
    <w:rsid w:val="00896E53"/>
    <w:rsid w:val="008A06BC"/>
    <w:rsid w:val="008A2B1F"/>
    <w:rsid w:val="008A4194"/>
    <w:rsid w:val="008B0782"/>
    <w:rsid w:val="008B0CBA"/>
    <w:rsid w:val="008B0E6E"/>
    <w:rsid w:val="008B10BF"/>
    <w:rsid w:val="008B1C33"/>
    <w:rsid w:val="008B73B6"/>
    <w:rsid w:val="008B79F2"/>
    <w:rsid w:val="008B7EB3"/>
    <w:rsid w:val="008B7F71"/>
    <w:rsid w:val="008C0EBD"/>
    <w:rsid w:val="008C2D60"/>
    <w:rsid w:val="008C3E84"/>
    <w:rsid w:val="008C5260"/>
    <w:rsid w:val="008C68A0"/>
    <w:rsid w:val="008D1080"/>
    <w:rsid w:val="008D62C1"/>
    <w:rsid w:val="008E318B"/>
    <w:rsid w:val="008E34E0"/>
    <w:rsid w:val="008E5474"/>
    <w:rsid w:val="008F13FC"/>
    <w:rsid w:val="008F37CB"/>
    <w:rsid w:val="008F71CF"/>
    <w:rsid w:val="008F79DB"/>
    <w:rsid w:val="009001F0"/>
    <w:rsid w:val="00901B3A"/>
    <w:rsid w:val="009045D1"/>
    <w:rsid w:val="009051E4"/>
    <w:rsid w:val="00905677"/>
    <w:rsid w:val="00905918"/>
    <w:rsid w:val="0090743A"/>
    <w:rsid w:val="00907A39"/>
    <w:rsid w:val="00916836"/>
    <w:rsid w:val="009204E3"/>
    <w:rsid w:val="0092131E"/>
    <w:rsid w:val="009219E6"/>
    <w:rsid w:val="009221BC"/>
    <w:rsid w:val="00922A0E"/>
    <w:rsid w:val="00923077"/>
    <w:rsid w:val="00924492"/>
    <w:rsid w:val="00926D58"/>
    <w:rsid w:val="00926DEC"/>
    <w:rsid w:val="00932FE6"/>
    <w:rsid w:val="00934AA0"/>
    <w:rsid w:val="00935000"/>
    <w:rsid w:val="00941628"/>
    <w:rsid w:val="00941642"/>
    <w:rsid w:val="009440EE"/>
    <w:rsid w:val="009454AB"/>
    <w:rsid w:val="00945825"/>
    <w:rsid w:val="00946AE2"/>
    <w:rsid w:val="009518A0"/>
    <w:rsid w:val="00952109"/>
    <w:rsid w:val="0095288B"/>
    <w:rsid w:val="0095350C"/>
    <w:rsid w:val="00954E75"/>
    <w:rsid w:val="009557AB"/>
    <w:rsid w:val="00955E03"/>
    <w:rsid w:val="0095749C"/>
    <w:rsid w:val="00957F30"/>
    <w:rsid w:val="00961E79"/>
    <w:rsid w:val="00964CB6"/>
    <w:rsid w:val="00966FF7"/>
    <w:rsid w:val="009701CD"/>
    <w:rsid w:val="009722B2"/>
    <w:rsid w:val="00972CFE"/>
    <w:rsid w:val="00975597"/>
    <w:rsid w:val="00975902"/>
    <w:rsid w:val="00975EC4"/>
    <w:rsid w:val="00976533"/>
    <w:rsid w:val="0097686C"/>
    <w:rsid w:val="00982E29"/>
    <w:rsid w:val="00984D6F"/>
    <w:rsid w:val="00986FF3"/>
    <w:rsid w:val="00987CB1"/>
    <w:rsid w:val="00992142"/>
    <w:rsid w:val="0099447B"/>
    <w:rsid w:val="0099489B"/>
    <w:rsid w:val="00995CCF"/>
    <w:rsid w:val="0099646B"/>
    <w:rsid w:val="009A1D35"/>
    <w:rsid w:val="009A3BB0"/>
    <w:rsid w:val="009A5012"/>
    <w:rsid w:val="009A6F96"/>
    <w:rsid w:val="009B1BDB"/>
    <w:rsid w:val="009B22D1"/>
    <w:rsid w:val="009B2786"/>
    <w:rsid w:val="009B2D55"/>
    <w:rsid w:val="009B31A4"/>
    <w:rsid w:val="009B32FA"/>
    <w:rsid w:val="009B3590"/>
    <w:rsid w:val="009B77C8"/>
    <w:rsid w:val="009C164E"/>
    <w:rsid w:val="009C17FE"/>
    <w:rsid w:val="009C365F"/>
    <w:rsid w:val="009C413D"/>
    <w:rsid w:val="009C4D80"/>
    <w:rsid w:val="009C51DD"/>
    <w:rsid w:val="009C69F9"/>
    <w:rsid w:val="009C726C"/>
    <w:rsid w:val="009C7644"/>
    <w:rsid w:val="009D231C"/>
    <w:rsid w:val="009D269B"/>
    <w:rsid w:val="009D27FB"/>
    <w:rsid w:val="009D3FEE"/>
    <w:rsid w:val="009D5044"/>
    <w:rsid w:val="009D55F1"/>
    <w:rsid w:val="009D6F95"/>
    <w:rsid w:val="009E00C9"/>
    <w:rsid w:val="009E3993"/>
    <w:rsid w:val="009E7B9E"/>
    <w:rsid w:val="009F0C46"/>
    <w:rsid w:val="009F385D"/>
    <w:rsid w:val="009F46C7"/>
    <w:rsid w:val="009F4B8D"/>
    <w:rsid w:val="009F5D6E"/>
    <w:rsid w:val="00A03F1E"/>
    <w:rsid w:val="00A047D3"/>
    <w:rsid w:val="00A04B33"/>
    <w:rsid w:val="00A06E3E"/>
    <w:rsid w:val="00A06E9D"/>
    <w:rsid w:val="00A1016F"/>
    <w:rsid w:val="00A11DCC"/>
    <w:rsid w:val="00A140AE"/>
    <w:rsid w:val="00A155EC"/>
    <w:rsid w:val="00A1730F"/>
    <w:rsid w:val="00A17BD3"/>
    <w:rsid w:val="00A27B8D"/>
    <w:rsid w:val="00A32385"/>
    <w:rsid w:val="00A32661"/>
    <w:rsid w:val="00A32ADA"/>
    <w:rsid w:val="00A33433"/>
    <w:rsid w:val="00A33BF9"/>
    <w:rsid w:val="00A340C5"/>
    <w:rsid w:val="00A367A0"/>
    <w:rsid w:val="00A401F6"/>
    <w:rsid w:val="00A426FB"/>
    <w:rsid w:val="00A44F5E"/>
    <w:rsid w:val="00A47D26"/>
    <w:rsid w:val="00A5497B"/>
    <w:rsid w:val="00A558F5"/>
    <w:rsid w:val="00A57220"/>
    <w:rsid w:val="00A6139E"/>
    <w:rsid w:val="00A61EE4"/>
    <w:rsid w:val="00A629A2"/>
    <w:rsid w:val="00A62CA2"/>
    <w:rsid w:val="00A64342"/>
    <w:rsid w:val="00A6651B"/>
    <w:rsid w:val="00A66867"/>
    <w:rsid w:val="00A70518"/>
    <w:rsid w:val="00A70B65"/>
    <w:rsid w:val="00A70D1A"/>
    <w:rsid w:val="00A71B0D"/>
    <w:rsid w:val="00A73470"/>
    <w:rsid w:val="00A7463C"/>
    <w:rsid w:val="00A75B6D"/>
    <w:rsid w:val="00A7602C"/>
    <w:rsid w:val="00A806CE"/>
    <w:rsid w:val="00A827AA"/>
    <w:rsid w:val="00A84367"/>
    <w:rsid w:val="00A86513"/>
    <w:rsid w:val="00A86D3D"/>
    <w:rsid w:val="00A90131"/>
    <w:rsid w:val="00A906E5"/>
    <w:rsid w:val="00A90A64"/>
    <w:rsid w:val="00A93C46"/>
    <w:rsid w:val="00A95CF7"/>
    <w:rsid w:val="00AA23DE"/>
    <w:rsid w:val="00AA3442"/>
    <w:rsid w:val="00AA3627"/>
    <w:rsid w:val="00AA58CB"/>
    <w:rsid w:val="00AA6A5D"/>
    <w:rsid w:val="00AA790B"/>
    <w:rsid w:val="00AA7AD4"/>
    <w:rsid w:val="00AB0C99"/>
    <w:rsid w:val="00AB1F89"/>
    <w:rsid w:val="00AB2F63"/>
    <w:rsid w:val="00AB3FF3"/>
    <w:rsid w:val="00AB4AAA"/>
    <w:rsid w:val="00AB67F7"/>
    <w:rsid w:val="00AB76FD"/>
    <w:rsid w:val="00AC20AA"/>
    <w:rsid w:val="00AC2730"/>
    <w:rsid w:val="00AC5D2D"/>
    <w:rsid w:val="00AD04C8"/>
    <w:rsid w:val="00AD04F4"/>
    <w:rsid w:val="00AD1461"/>
    <w:rsid w:val="00AD1552"/>
    <w:rsid w:val="00AD201C"/>
    <w:rsid w:val="00AD22CC"/>
    <w:rsid w:val="00AD3F12"/>
    <w:rsid w:val="00AD6C5F"/>
    <w:rsid w:val="00AE109A"/>
    <w:rsid w:val="00AE3A9F"/>
    <w:rsid w:val="00AF0297"/>
    <w:rsid w:val="00AF172B"/>
    <w:rsid w:val="00AF18A0"/>
    <w:rsid w:val="00AF1F40"/>
    <w:rsid w:val="00AF4A53"/>
    <w:rsid w:val="00AF71B7"/>
    <w:rsid w:val="00B00501"/>
    <w:rsid w:val="00B01515"/>
    <w:rsid w:val="00B041DA"/>
    <w:rsid w:val="00B05493"/>
    <w:rsid w:val="00B056EF"/>
    <w:rsid w:val="00B05FAC"/>
    <w:rsid w:val="00B06945"/>
    <w:rsid w:val="00B06F3B"/>
    <w:rsid w:val="00B1059F"/>
    <w:rsid w:val="00B1060C"/>
    <w:rsid w:val="00B1145F"/>
    <w:rsid w:val="00B11C61"/>
    <w:rsid w:val="00B1228C"/>
    <w:rsid w:val="00B12836"/>
    <w:rsid w:val="00B1392C"/>
    <w:rsid w:val="00B20167"/>
    <w:rsid w:val="00B22B91"/>
    <w:rsid w:val="00B243E8"/>
    <w:rsid w:val="00B27DF6"/>
    <w:rsid w:val="00B31A32"/>
    <w:rsid w:val="00B329D9"/>
    <w:rsid w:val="00B32E46"/>
    <w:rsid w:val="00B378B5"/>
    <w:rsid w:val="00B40C9F"/>
    <w:rsid w:val="00B431D8"/>
    <w:rsid w:val="00B439C4"/>
    <w:rsid w:val="00B43EF1"/>
    <w:rsid w:val="00B43F1D"/>
    <w:rsid w:val="00B44ED4"/>
    <w:rsid w:val="00B45213"/>
    <w:rsid w:val="00B457A8"/>
    <w:rsid w:val="00B51205"/>
    <w:rsid w:val="00B54A2D"/>
    <w:rsid w:val="00B54AAF"/>
    <w:rsid w:val="00B54D61"/>
    <w:rsid w:val="00B5639A"/>
    <w:rsid w:val="00B5765F"/>
    <w:rsid w:val="00B57CF7"/>
    <w:rsid w:val="00B60309"/>
    <w:rsid w:val="00B61E02"/>
    <w:rsid w:val="00B658E5"/>
    <w:rsid w:val="00B66D7D"/>
    <w:rsid w:val="00B709E2"/>
    <w:rsid w:val="00B74BAD"/>
    <w:rsid w:val="00B75E85"/>
    <w:rsid w:val="00B777F4"/>
    <w:rsid w:val="00B81587"/>
    <w:rsid w:val="00B81CF0"/>
    <w:rsid w:val="00B8227F"/>
    <w:rsid w:val="00B84A54"/>
    <w:rsid w:val="00B86294"/>
    <w:rsid w:val="00B8722F"/>
    <w:rsid w:val="00B8769D"/>
    <w:rsid w:val="00B90093"/>
    <w:rsid w:val="00B90BAD"/>
    <w:rsid w:val="00B918F5"/>
    <w:rsid w:val="00B9310F"/>
    <w:rsid w:val="00B9732E"/>
    <w:rsid w:val="00B97D01"/>
    <w:rsid w:val="00BA31C9"/>
    <w:rsid w:val="00BA37EB"/>
    <w:rsid w:val="00BA3B1A"/>
    <w:rsid w:val="00BA5BF4"/>
    <w:rsid w:val="00BB0023"/>
    <w:rsid w:val="00BB2ADE"/>
    <w:rsid w:val="00BB5488"/>
    <w:rsid w:val="00BB5FE1"/>
    <w:rsid w:val="00BC038A"/>
    <w:rsid w:val="00BC099D"/>
    <w:rsid w:val="00BC27AA"/>
    <w:rsid w:val="00BC3342"/>
    <w:rsid w:val="00BC7029"/>
    <w:rsid w:val="00BC7618"/>
    <w:rsid w:val="00BD31D5"/>
    <w:rsid w:val="00BD501B"/>
    <w:rsid w:val="00BD57DF"/>
    <w:rsid w:val="00BD7188"/>
    <w:rsid w:val="00BE17FC"/>
    <w:rsid w:val="00BE1BF5"/>
    <w:rsid w:val="00BE1E73"/>
    <w:rsid w:val="00BE20AE"/>
    <w:rsid w:val="00BE225B"/>
    <w:rsid w:val="00BE4A14"/>
    <w:rsid w:val="00BE6ABF"/>
    <w:rsid w:val="00BE7CAE"/>
    <w:rsid w:val="00BF037E"/>
    <w:rsid w:val="00BF093B"/>
    <w:rsid w:val="00BF0C0F"/>
    <w:rsid w:val="00BF159B"/>
    <w:rsid w:val="00BF2680"/>
    <w:rsid w:val="00BF4091"/>
    <w:rsid w:val="00BF5506"/>
    <w:rsid w:val="00C01B8D"/>
    <w:rsid w:val="00C030E5"/>
    <w:rsid w:val="00C0342D"/>
    <w:rsid w:val="00C04BA8"/>
    <w:rsid w:val="00C07791"/>
    <w:rsid w:val="00C0797C"/>
    <w:rsid w:val="00C11CB7"/>
    <w:rsid w:val="00C11D45"/>
    <w:rsid w:val="00C12072"/>
    <w:rsid w:val="00C13ADC"/>
    <w:rsid w:val="00C14DAD"/>
    <w:rsid w:val="00C156C5"/>
    <w:rsid w:val="00C16762"/>
    <w:rsid w:val="00C16F72"/>
    <w:rsid w:val="00C2216A"/>
    <w:rsid w:val="00C22757"/>
    <w:rsid w:val="00C25409"/>
    <w:rsid w:val="00C2684F"/>
    <w:rsid w:val="00C27E89"/>
    <w:rsid w:val="00C3061E"/>
    <w:rsid w:val="00C3315E"/>
    <w:rsid w:val="00C3391C"/>
    <w:rsid w:val="00C33DCC"/>
    <w:rsid w:val="00C349FA"/>
    <w:rsid w:val="00C35386"/>
    <w:rsid w:val="00C3622D"/>
    <w:rsid w:val="00C425D0"/>
    <w:rsid w:val="00C45D57"/>
    <w:rsid w:val="00C463C8"/>
    <w:rsid w:val="00C46BE1"/>
    <w:rsid w:val="00C47058"/>
    <w:rsid w:val="00C51F5D"/>
    <w:rsid w:val="00C52FEE"/>
    <w:rsid w:val="00C538DA"/>
    <w:rsid w:val="00C53C96"/>
    <w:rsid w:val="00C54EC7"/>
    <w:rsid w:val="00C5639D"/>
    <w:rsid w:val="00C5674E"/>
    <w:rsid w:val="00C5682F"/>
    <w:rsid w:val="00C61AA3"/>
    <w:rsid w:val="00C61D19"/>
    <w:rsid w:val="00C62704"/>
    <w:rsid w:val="00C6273E"/>
    <w:rsid w:val="00C6459B"/>
    <w:rsid w:val="00C646DE"/>
    <w:rsid w:val="00C65493"/>
    <w:rsid w:val="00C672CC"/>
    <w:rsid w:val="00C708C5"/>
    <w:rsid w:val="00C75E09"/>
    <w:rsid w:val="00C77A55"/>
    <w:rsid w:val="00C82184"/>
    <w:rsid w:val="00C837F6"/>
    <w:rsid w:val="00C8607D"/>
    <w:rsid w:val="00C879C4"/>
    <w:rsid w:val="00C90353"/>
    <w:rsid w:val="00C908EA"/>
    <w:rsid w:val="00C937CC"/>
    <w:rsid w:val="00C95C5D"/>
    <w:rsid w:val="00C97C5F"/>
    <w:rsid w:val="00CA0A6C"/>
    <w:rsid w:val="00CA20D1"/>
    <w:rsid w:val="00CA3F5E"/>
    <w:rsid w:val="00CA6825"/>
    <w:rsid w:val="00CA78C0"/>
    <w:rsid w:val="00CA7E8D"/>
    <w:rsid w:val="00CB0FC5"/>
    <w:rsid w:val="00CB19BD"/>
    <w:rsid w:val="00CB3D3C"/>
    <w:rsid w:val="00CB4CBC"/>
    <w:rsid w:val="00CB6B12"/>
    <w:rsid w:val="00CC1F95"/>
    <w:rsid w:val="00CC79A4"/>
    <w:rsid w:val="00CD03BC"/>
    <w:rsid w:val="00CD08BD"/>
    <w:rsid w:val="00CD211E"/>
    <w:rsid w:val="00CD6806"/>
    <w:rsid w:val="00CD775C"/>
    <w:rsid w:val="00CE15F9"/>
    <w:rsid w:val="00CE221F"/>
    <w:rsid w:val="00CE36CF"/>
    <w:rsid w:val="00CE7986"/>
    <w:rsid w:val="00CE7BF7"/>
    <w:rsid w:val="00CF3199"/>
    <w:rsid w:val="00CF3296"/>
    <w:rsid w:val="00CF3A67"/>
    <w:rsid w:val="00CF479B"/>
    <w:rsid w:val="00CF4C6A"/>
    <w:rsid w:val="00CF56E2"/>
    <w:rsid w:val="00D00BA7"/>
    <w:rsid w:val="00D029AC"/>
    <w:rsid w:val="00D049F3"/>
    <w:rsid w:val="00D04DDC"/>
    <w:rsid w:val="00D07E1B"/>
    <w:rsid w:val="00D12EE4"/>
    <w:rsid w:val="00D156A1"/>
    <w:rsid w:val="00D178D8"/>
    <w:rsid w:val="00D20010"/>
    <w:rsid w:val="00D20A4A"/>
    <w:rsid w:val="00D21CD6"/>
    <w:rsid w:val="00D22006"/>
    <w:rsid w:val="00D2369E"/>
    <w:rsid w:val="00D23FA1"/>
    <w:rsid w:val="00D24E25"/>
    <w:rsid w:val="00D25150"/>
    <w:rsid w:val="00D25993"/>
    <w:rsid w:val="00D27C5D"/>
    <w:rsid w:val="00D27D3C"/>
    <w:rsid w:val="00D32AA1"/>
    <w:rsid w:val="00D34327"/>
    <w:rsid w:val="00D34C82"/>
    <w:rsid w:val="00D369B7"/>
    <w:rsid w:val="00D404E2"/>
    <w:rsid w:val="00D40A51"/>
    <w:rsid w:val="00D40D01"/>
    <w:rsid w:val="00D41E71"/>
    <w:rsid w:val="00D42BD1"/>
    <w:rsid w:val="00D44B93"/>
    <w:rsid w:val="00D5759C"/>
    <w:rsid w:val="00D6401F"/>
    <w:rsid w:val="00D64553"/>
    <w:rsid w:val="00D6610A"/>
    <w:rsid w:val="00D7388C"/>
    <w:rsid w:val="00D769FE"/>
    <w:rsid w:val="00D76E3C"/>
    <w:rsid w:val="00D8029F"/>
    <w:rsid w:val="00D8127C"/>
    <w:rsid w:val="00D826E1"/>
    <w:rsid w:val="00D8450B"/>
    <w:rsid w:val="00D85038"/>
    <w:rsid w:val="00D90845"/>
    <w:rsid w:val="00D92F07"/>
    <w:rsid w:val="00D95D5B"/>
    <w:rsid w:val="00D97E90"/>
    <w:rsid w:val="00DA1B7A"/>
    <w:rsid w:val="00DA407E"/>
    <w:rsid w:val="00DA4DFD"/>
    <w:rsid w:val="00DA5D11"/>
    <w:rsid w:val="00DA67C6"/>
    <w:rsid w:val="00DB05FF"/>
    <w:rsid w:val="00DB21F7"/>
    <w:rsid w:val="00DB4FE6"/>
    <w:rsid w:val="00DB7EEE"/>
    <w:rsid w:val="00DC13F3"/>
    <w:rsid w:val="00DC2933"/>
    <w:rsid w:val="00DC2BCC"/>
    <w:rsid w:val="00DC5EB9"/>
    <w:rsid w:val="00DC7B7D"/>
    <w:rsid w:val="00DD0C4C"/>
    <w:rsid w:val="00DD17FD"/>
    <w:rsid w:val="00DD331F"/>
    <w:rsid w:val="00DD3F95"/>
    <w:rsid w:val="00DD51D0"/>
    <w:rsid w:val="00DD5790"/>
    <w:rsid w:val="00DE075D"/>
    <w:rsid w:val="00DE10ED"/>
    <w:rsid w:val="00DE1F43"/>
    <w:rsid w:val="00DE31DF"/>
    <w:rsid w:val="00DE3759"/>
    <w:rsid w:val="00DE4046"/>
    <w:rsid w:val="00DE6E76"/>
    <w:rsid w:val="00DE6FD1"/>
    <w:rsid w:val="00DE7054"/>
    <w:rsid w:val="00DE7E50"/>
    <w:rsid w:val="00DF04C1"/>
    <w:rsid w:val="00DF153E"/>
    <w:rsid w:val="00DF2317"/>
    <w:rsid w:val="00DF4499"/>
    <w:rsid w:val="00DF66E3"/>
    <w:rsid w:val="00DF7215"/>
    <w:rsid w:val="00E02DF5"/>
    <w:rsid w:val="00E02F3E"/>
    <w:rsid w:val="00E05869"/>
    <w:rsid w:val="00E06977"/>
    <w:rsid w:val="00E07704"/>
    <w:rsid w:val="00E0785B"/>
    <w:rsid w:val="00E106D6"/>
    <w:rsid w:val="00E10CDA"/>
    <w:rsid w:val="00E12041"/>
    <w:rsid w:val="00E13210"/>
    <w:rsid w:val="00E13D66"/>
    <w:rsid w:val="00E13DBA"/>
    <w:rsid w:val="00E13E1C"/>
    <w:rsid w:val="00E15E6C"/>
    <w:rsid w:val="00E15F73"/>
    <w:rsid w:val="00E173B3"/>
    <w:rsid w:val="00E22FD9"/>
    <w:rsid w:val="00E25DF7"/>
    <w:rsid w:val="00E30D33"/>
    <w:rsid w:val="00E31B33"/>
    <w:rsid w:val="00E31D5C"/>
    <w:rsid w:val="00E37478"/>
    <w:rsid w:val="00E375E8"/>
    <w:rsid w:val="00E3776B"/>
    <w:rsid w:val="00E41876"/>
    <w:rsid w:val="00E41A69"/>
    <w:rsid w:val="00E44650"/>
    <w:rsid w:val="00E44C30"/>
    <w:rsid w:val="00E45110"/>
    <w:rsid w:val="00E458D7"/>
    <w:rsid w:val="00E53003"/>
    <w:rsid w:val="00E537F0"/>
    <w:rsid w:val="00E53FDB"/>
    <w:rsid w:val="00E54736"/>
    <w:rsid w:val="00E54CD3"/>
    <w:rsid w:val="00E56B2B"/>
    <w:rsid w:val="00E56F2E"/>
    <w:rsid w:val="00E6100D"/>
    <w:rsid w:val="00E64C04"/>
    <w:rsid w:val="00E65F71"/>
    <w:rsid w:val="00E660B6"/>
    <w:rsid w:val="00E66984"/>
    <w:rsid w:val="00E67467"/>
    <w:rsid w:val="00E73339"/>
    <w:rsid w:val="00E75C9F"/>
    <w:rsid w:val="00E76F63"/>
    <w:rsid w:val="00E77246"/>
    <w:rsid w:val="00E80BF2"/>
    <w:rsid w:val="00E81548"/>
    <w:rsid w:val="00E81645"/>
    <w:rsid w:val="00E847DA"/>
    <w:rsid w:val="00E84B63"/>
    <w:rsid w:val="00E85560"/>
    <w:rsid w:val="00E871AA"/>
    <w:rsid w:val="00E87E74"/>
    <w:rsid w:val="00E9079F"/>
    <w:rsid w:val="00E91174"/>
    <w:rsid w:val="00E91F26"/>
    <w:rsid w:val="00E91FA0"/>
    <w:rsid w:val="00E92250"/>
    <w:rsid w:val="00E93FE3"/>
    <w:rsid w:val="00E960B7"/>
    <w:rsid w:val="00E96382"/>
    <w:rsid w:val="00E9715F"/>
    <w:rsid w:val="00E97992"/>
    <w:rsid w:val="00EA0176"/>
    <w:rsid w:val="00EA0657"/>
    <w:rsid w:val="00EA351B"/>
    <w:rsid w:val="00EA3C2B"/>
    <w:rsid w:val="00EA4B14"/>
    <w:rsid w:val="00EA55E6"/>
    <w:rsid w:val="00EA69B3"/>
    <w:rsid w:val="00EA7A71"/>
    <w:rsid w:val="00EB2BF8"/>
    <w:rsid w:val="00EB3524"/>
    <w:rsid w:val="00EB355C"/>
    <w:rsid w:val="00EB4877"/>
    <w:rsid w:val="00EB4DEB"/>
    <w:rsid w:val="00EB5A24"/>
    <w:rsid w:val="00EB600E"/>
    <w:rsid w:val="00EB6179"/>
    <w:rsid w:val="00EB727D"/>
    <w:rsid w:val="00EC3848"/>
    <w:rsid w:val="00EC3AB8"/>
    <w:rsid w:val="00ED1447"/>
    <w:rsid w:val="00ED2948"/>
    <w:rsid w:val="00EE0671"/>
    <w:rsid w:val="00EE4536"/>
    <w:rsid w:val="00EE5500"/>
    <w:rsid w:val="00EE7296"/>
    <w:rsid w:val="00EE747F"/>
    <w:rsid w:val="00EE74F4"/>
    <w:rsid w:val="00EE79DA"/>
    <w:rsid w:val="00EE7CA0"/>
    <w:rsid w:val="00EF10D9"/>
    <w:rsid w:val="00EF2910"/>
    <w:rsid w:val="00EF3953"/>
    <w:rsid w:val="00EF4704"/>
    <w:rsid w:val="00EF67FC"/>
    <w:rsid w:val="00F026D5"/>
    <w:rsid w:val="00F03F6C"/>
    <w:rsid w:val="00F067BC"/>
    <w:rsid w:val="00F074D8"/>
    <w:rsid w:val="00F07CA6"/>
    <w:rsid w:val="00F12786"/>
    <w:rsid w:val="00F13F55"/>
    <w:rsid w:val="00F1719D"/>
    <w:rsid w:val="00F2025F"/>
    <w:rsid w:val="00F205F5"/>
    <w:rsid w:val="00F20CE2"/>
    <w:rsid w:val="00F22272"/>
    <w:rsid w:val="00F226EB"/>
    <w:rsid w:val="00F226ED"/>
    <w:rsid w:val="00F22789"/>
    <w:rsid w:val="00F2349E"/>
    <w:rsid w:val="00F23FD9"/>
    <w:rsid w:val="00F24E1A"/>
    <w:rsid w:val="00F25E57"/>
    <w:rsid w:val="00F26B71"/>
    <w:rsid w:val="00F30748"/>
    <w:rsid w:val="00F31E9C"/>
    <w:rsid w:val="00F351B2"/>
    <w:rsid w:val="00F35784"/>
    <w:rsid w:val="00F3669C"/>
    <w:rsid w:val="00F373E4"/>
    <w:rsid w:val="00F40191"/>
    <w:rsid w:val="00F42F95"/>
    <w:rsid w:val="00F43819"/>
    <w:rsid w:val="00F45D25"/>
    <w:rsid w:val="00F46E62"/>
    <w:rsid w:val="00F473E6"/>
    <w:rsid w:val="00F51203"/>
    <w:rsid w:val="00F51712"/>
    <w:rsid w:val="00F54587"/>
    <w:rsid w:val="00F54CDF"/>
    <w:rsid w:val="00F5509C"/>
    <w:rsid w:val="00F559BF"/>
    <w:rsid w:val="00F55D40"/>
    <w:rsid w:val="00F55DAA"/>
    <w:rsid w:val="00F56051"/>
    <w:rsid w:val="00F5716B"/>
    <w:rsid w:val="00F610C6"/>
    <w:rsid w:val="00F61DD9"/>
    <w:rsid w:val="00F63D12"/>
    <w:rsid w:val="00F67076"/>
    <w:rsid w:val="00F6740D"/>
    <w:rsid w:val="00F71BB1"/>
    <w:rsid w:val="00F72680"/>
    <w:rsid w:val="00F72D40"/>
    <w:rsid w:val="00F745C9"/>
    <w:rsid w:val="00F74813"/>
    <w:rsid w:val="00F75386"/>
    <w:rsid w:val="00F759A4"/>
    <w:rsid w:val="00F75E38"/>
    <w:rsid w:val="00F77B58"/>
    <w:rsid w:val="00F82B3E"/>
    <w:rsid w:val="00F831CE"/>
    <w:rsid w:val="00F857B1"/>
    <w:rsid w:val="00F869D1"/>
    <w:rsid w:val="00F932AC"/>
    <w:rsid w:val="00F94D05"/>
    <w:rsid w:val="00F96472"/>
    <w:rsid w:val="00F97F06"/>
    <w:rsid w:val="00FA225C"/>
    <w:rsid w:val="00FA467E"/>
    <w:rsid w:val="00FA6D69"/>
    <w:rsid w:val="00FA76AE"/>
    <w:rsid w:val="00FB2D59"/>
    <w:rsid w:val="00FB483D"/>
    <w:rsid w:val="00FB4F2F"/>
    <w:rsid w:val="00FB5F00"/>
    <w:rsid w:val="00FB6617"/>
    <w:rsid w:val="00FC0951"/>
    <w:rsid w:val="00FC26EB"/>
    <w:rsid w:val="00FC3890"/>
    <w:rsid w:val="00FC5157"/>
    <w:rsid w:val="00FC5651"/>
    <w:rsid w:val="00FC5D94"/>
    <w:rsid w:val="00FD0105"/>
    <w:rsid w:val="00FD43AE"/>
    <w:rsid w:val="00FD5D5B"/>
    <w:rsid w:val="00FD770D"/>
    <w:rsid w:val="00FD7A9C"/>
    <w:rsid w:val="00FE109D"/>
    <w:rsid w:val="00FE314A"/>
    <w:rsid w:val="00FE46AD"/>
    <w:rsid w:val="00FE5C32"/>
    <w:rsid w:val="00FE6824"/>
    <w:rsid w:val="00FE699B"/>
    <w:rsid w:val="00FF0F44"/>
    <w:rsid w:val="00FF154B"/>
    <w:rsid w:val="00FF210A"/>
    <w:rsid w:val="00FF2611"/>
    <w:rsid w:val="00FF36DB"/>
    <w:rsid w:val="00FF435B"/>
    <w:rsid w:val="00FF47C0"/>
    <w:rsid w:val="00FF6DCD"/>
  </w:rsids>
  <m:mathPr>
    <m:mathFont m:val="Cambria Math"/>
    <m:brkBin m:val="before"/>
    <m:brkBinSub m:val="--"/>
    <m:smallFrac m:val="0"/>
    <m:dispDef/>
    <m:lMargin m:val="0"/>
    <m:rMargin m:val="0"/>
    <m:defJc m:val="centerGroup"/>
    <m:wrapIndent m:val="1440"/>
    <m:intLim m:val="subSup"/>
    <m:naryLim m:val="undOvr"/>
  </m:mathPr>
  <w:themeFontLang w:val="en-CA"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FBC51"/>
  <w15:chartTrackingRefBased/>
  <w15:docId w15:val="{FB7E6483-ACBA-0A49-971E-2F06AD917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2F6"/>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qFormat/>
    <w:pPr>
      <w:keepNext/>
      <w:outlineLvl w:val="0"/>
    </w:pPr>
    <w:rPr>
      <w:sz w:val="24"/>
    </w:rPr>
  </w:style>
  <w:style w:type="paragraph" w:styleId="Heading2">
    <w:name w:val="heading 2"/>
    <w:aliases w:val="H2"/>
    <w:basedOn w:val="Normal"/>
    <w:next w:val="Normal"/>
    <w:qFormat/>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widowControl/>
      <w:tabs>
        <w:tab w:val="center" w:pos="4819"/>
        <w:tab w:val="right" w:pos="9071"/>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uiPriority w:val="34"/>
    <w:qFormat/>
    <w:rsid w:val="00966FF7"/>
    <w:pPr>
      <w:ind w:left="720"/>
      <w:contextualSpacing/>
      <w:jc w:val="left"/>
    </w:pPr>
    <w:rPr>
      <w:rFonts w:eastAsia="SimSun"/>
      <w:sz w:val="22"/>
    </w:rPr>
  </w:style>
  <w:style w:type="paragraph" w:styleId="BodyText">
    <w:name w:val="Body Text"/>
    <w:basedOn w:val="Normal"/>
    <w:link w:val="BodyTextChar"/>
    <w:rsid w:val="00966FF7"/>
    <w:pPr>
      <w:widowControl/>
      <w:spacing w:after="180" w:line="240" w:lineRule="auto"/>
      <w:jc w:val="left"/>
    </w:pPr>
    <w:rPr>
      <w:rFonts w:ascii="Times New Roman" w:eastAsia="SimSu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link w:val="FootnoteTextChar"/>
    <w:rsid w:val="00D42BD1"/>
  </w:style>
  <w:style w:type="character" w:styleId="FootnoteReference">
    <w:name w:val="footnote reference"/>
    <w:rsid w:val="00D42BD1"/>
    <w:rPr>
      <w:vertAlign w:val="superscript"/>
    </w:rPr>
  </w:style>
  <w:style w:type="character" w:styleId="Hyperlink">
    <w:name w:val="Hyperlink"/>
    <w:rsid w:val="00D42BD1"/>
    <w:rPr>
      <w:color w:val="0000FF"/>
      <w:u w:val="single"/>
    </w:rPr>
  </w:style>
  <w:style w:type="paragraph" w:customStyle="1" w:styleId="Arial">
    <w:name w:val="Arial"/>
    <w:basedOn w:val="Normal"/>
    <w:rsid w:val="00C13ADC"/>
    <w:rPr>
      <w:rFonts w:ascii="Times New Roman" w:hAnsi="Times New Roman"/>
    </w:rPr>
  </w:style>
  <w:style w:type="character" w:customStyle="1" w:styleId="HeaderChar">
    <w:name w:val="Header Char"/>
    <w:link w:val="Header"/>
    <w:rsid w:val="002A306D"/>
    <w:rPr>
      <w:rFonts w:ascii="Arial" w:hAnsi="Arial"/>
      <w:lang w:val="en-GB"/>
    </w:rPr>
  </w:style>
  <w:style w:type="paragraph" w:customStyle="1" w:styleId="B1">
    <w:name w:val="B1"/>
    <w:basedOn w:val="List"/>
    <w:rsid w:val="006573C5"/>
    <w:pPr>
      <w:widowControl/>
      <w:overflowPunct w:val="0"/>
      <w:autoSpaceDE w:val="0"/>
      <w:autoSpaceDN w:val="0"/>
      <w:adjustRightInd w:val="0"/>
      <w:spacing w:after="180" w:line="240" w:lineRule="auto"/>
      <w:ind w:left="568" w:hanging="284"/>
      <w:contextualSpacing w:val="0"/>
      <w:jc w:val="left"/>
      <w:textAlignment w:val="baseline"/>
    </w:pPr>
    <w:rPr>
      <w:rFonts w:ascii="Times New Roman" w:eastAsia="Malgun Gothic" w:hAnsi="Times New Roman"/>
      <w:lang w:eastAsia="en-GB"/>
    </w:rPr>
  </w:style>
  <w:style w:type="paragraph" w:styleId="List">
    <w:name w:val="List"/>
    <w:basedOn w:val="Normal"/>
    <w:rsid w:val="006573C5"/>
    <w:pPr>
      <w:ind w:left="360" w:hanging="360"/>
      <w:contextualSpacing/>
    </w:pPr>
  </w:style>
  <w:style w:type="character" w:customStyle="1" w:styleId="FootnoteTextChar">
    <w:name w:val="Footnote Text Char"/>
    <w:link w:val="FootnoteText"/>
    <w:rsid w:val="00A66867"/>
    <w:rPr>
      <w:rFonts w:ascii="Arial" w:hAnsi="Arial"/>
      <w:lang w:eastAsia="en-US"/>
    </w:rPr>
  </w:style>
  <w:style w:type="paragraph" w:customStyle="1" w:styleId="TH">
    <w:name w:val="TH"/>
    <w:basedOn w:val="Normal"/>
    <w:next w:val="Normal"/>
    <w:rsid w:val="00380CF5"/>
    <w:pPr>
      <w:keepNext/>
      <w:keepLines/>
      <w:widowControl/>
      <w:overflowPunct w:val="0"/>
      <w:autoSpaceDE w:val="0"/>
      <w:autoSpaceDN w:val="0"/>
      <w:adjustRightInd w:val="0"/>
      <w:spacing w:before="60" w:after="180" w:line="240" w:lineRule="auto"/>
      <w:jc w:val="center"/>
      <w:textAlignment w:val="baseline"/>
    </w:pPr>
    <w:rPr>
      <w:b/>
    </w:rPr>
  </w:style>
  <w:style w:type="paragraph" w:customStyle="1" w:styleId="syntaxBox">
    <w:name w:val="syntaxBox"/>
    <w:basedOn w:val="Normal"/>
    <w:link w:val="syntaxBoxChar"/>
    <w:uiPriority w:val="99"/>
    <w:rsid w:val="00380CF5"/>
    <w:pPr>
      <w:keepNext/>
      <w:keepLines/>
      <w:widowControl/>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line="240" w:lineRule="auto"/>
      <w:jc w:val="left"/>
      <w:textAlignment w:val="baseline"/>
    </w:pPr>
    <w:rPr>
      <w:rFonts w:ascii="Helvetica" w:eastAsia="BatangChe" w:hAnsi="Helvetica"/>
      <w:noProof/>
    </w:rPr>
  </w:style>
  <w:style w:type="paragraph" w:customStyle="1" w:styleId="SyntaxBox0">
    <w:name w:val="SyntaxBox"/>
    <w:basedOn w:val="Normal"/>
    <w:link w:val="SyntaxBoxZchn"/>
    <w:rsid w:val="00380CF5"/>
    <w:pPr>
      <w:tabs>
        <w:tab w:val="left" w:pos="360"/>
        <w:tab w:val="left" w:pos="720"/>
        <w:tab w:val="left" w:pos="1077"/>
        <w:tab w:val="left" w:pos="1440"/>
        <w:tab w:val="left" w:pos="1800"/>
        <w:tab w:val="left" w:pos="2160"/>
        <w:tab w:val="left" w:pos="2520"/>
        <w:tab w:val="left" w:pos="2880"/>
        <w:tab w:val="left" w:pos="3240"/>
      </w:tabs>
      <w:spacing w:after="20" w:line="240" w:lineRule="auto"/>
      <w:jc w:val="left"/>
    </w:pPr>
    <w:rPr>
      <w:rFonts w:eastAsia="MS Mincho"/>
      <w:lang w:eastAsia="ja-JP"/>
    </w:rPr>
  </w:style>
  <w:style w:type="character" w:customStyle="1" w:styleId="syntaxBoxChar">
    <w:name w:val="syntaxBox Char"/>
    <w:link w:val="syntaxBox"/>
    <w:uiPriority w:val="99"/>
    <w:rsid w:val="00380CF5"/>
    <w:rPr>
      <w:rFonts w:ascii="Helvetica" w:eastAsia="BatangChe" w:hAnsi="Helvetica"/>
      <w:noProof/>
      <w:lang w:val="en-GB" w:eastAsia="en-US"/>
    </w:rPr>
  </w:style>
  <w:style w:type="character" w:customStyle="1" w:styleId="SyntaxBoxZchn">
    <w:name w:val="SyntaxBox Zchn"/>
    <w:link w:val="SyntaxBox0"/>
    <w:rsid w:val="00380CF5"/>
    <w:rPr>
      <w:rFonts w:ascii="Arial" w:eastAsia="MS Mincho" w:hAnsi="Arial"/>
      <w:lang w:val="en-GB" w:eastAsia="ja-JP"/>
    </w:rPr>
  </w:style>
  <w:style w:type="table" w:styleId="TableGrid">
    <w:name w:val="Table Grid"/>
    <w:basedOn w:val="TableNormal"/>
    <w:rsid w:val="00380CF5"/>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89128C"/>
    <w:rPr>
      <w:b/>
      <w:bCs/>
    </w:rPr>
  </w:style>
  <w:style w:type="paragraph" w:customStyle="1" w:styleId="Heading">
    <w:name w:val="Heading"/>
    <w:aliases w:val="1_"/>
    <w:basedOn w:val="Normal"/>
    <w:link w:val="HeadingCar"/>
    <w:rsid w:val="00E92250"/>
    <w:pPr>
      <w:ind w:left="1260" w:hanging="551"/>
      <w:jc w:val="left"/>
    </w:pPr>
    <w:rPr>
      <w:rFonts w:eastAsia="SimSun"/>
      <w:b/>
      <w:sz w:val="22"/>
    </w:rPr>
  </w:style>
  <w:style w:type="character" w:customStyle="1" w:styleId="HeadingCar">
    <w:name w:val="Heading Car"/>
    <w:aliases w:val="1_ Car"/>
    <w:link w:val="Heading"/>
    <w:rsid w:val="00E92250"/>
    <w:rPr>
      <w:rFonts w:ascii="Arial" w:eastAsia="SimSun" w:hAnsi="Arial"/>
      <w:b/>
      <w:sz w:val="22"/>
      <w:lang w:val="en-GB"/>
    </w:rPr>
  </w:style>
  <w:style w:type="numbering" w:customStyle="1" w:styleId="Style1">
    <w:name w:val="Style1"/>
    <w:uiPriority w:val="99"/>
    <w:rsid w:val="00E92250"/>
    <w:pPr>
      <w:numPr>
        <w:numId w:val="2"/>
      </w:numPr>
    </w:pPr>
  </w:style>
  <w:style w:type="paragraph" w:styleId="Quote">
    <w:name w:val="Quote"/>
    <w:basedOn w:val="Normal"/>
    <w:next w:val="Normal"/>
    <w:link w:val="QuoteChar"/>
    <w:uiPriority w:val="29"/>
    <w:qFormat/>
    <w:rsid w:val="007E4627"/>
    <w:pPr>
      <w:spacing w:before="200" w:after="160"/>
      <w:ind w:left="864" w:right="864"/>
      <w:jc w:val="center"/>
    </w:pPr>
    <w:rPr>
      <w:i/>
      <w:iCs/>
      <w:color w:val="404040"/>
    </w:rPr>
  </w:style>
  <w:style w:type="character" w:customStyle="1" w:styleId="QuoteChar">
    <w:name w:val="Quote Char"/>
    <w:link w:val="Quote"/>
    <w:uiPriority w:val="29"/>
    <w:rsid w:val="007E4627"/>
    <w:rPr>
      <w:rFonts w:ascii="Arial" w:hAnsi="Arial"/>
      <w:i/>
      <w:iCs/>
      <w:color w:val="40404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269568">
      <w:bodyDiv w:val="1"/>
      <w:marLeft w:val="0"/>
      <w:marRight w:val="0"/>
      <w:marTop w:val="0"/>
      <w:marBottom w:val="0"/>
      <w:divBdr>
        <w:top w:val="none" w:sz="0" w:space="0" w:color="auto"/>
        <w:left w:val="none" w:sz="0" w:space="0" w:color="auto"/>
        <w:bottom w:val="none" w:sz="0" w:space="0" w:color="auto"/>
        <w:right w:val="none" w:sz="0" w:space="0" w:color="auto"/>
      </w:divBdr>
    </w:div>
    <w:div w:id="486285474">
      <w:bodyDiv w:val="1"/>
      <w:marLeft w:val="0"/>
      <w:marRight w:val="0"/>
      <w:marTop w:val="0"/>
      <w:marBottom w:val="0"/>
      <w:divBdr>
        <w:top w:val="none" w:sz="0" w:space="0" w:color="auto"/>
        <w:left w:val="none" w:sz="0" w:space="0" w:color="auto"/>
        <w:bottom w:val="none" w:sz="0" w:space="0" w:color="auto"/>
        <w:right w:val="none" w:sz="0" w:space="0" w:color="auto"/>
      </w:divBdr>
    </w:div>
    <w:div w:id="942420636">
      <w:bodyDiv w:val="1"/>
      <w:marLeft w:val="0"/>
      <w:marRight w:val="0"/>
      <w:marTop w:val="0"/>
      <w:marBottom w:val="0"/>
      <w:divBdr>
        <w:top w:val="none" w:sz="0" w:space="0" w:color="auto"/>
        <w:left w:val="none" w:sz="0" w:space="0" w:color="auto"/>
        <w:bottom w:val="none" w:sz="0" w:space="0" w:color="auto"/>
        <w:right w:val="none" w:sz="0" w:space="0" w:color="auto"/>
      </w:divBdr>
    </w:div>
    <w:div w:id="992224509">
      <w:bodyDiv w:val="1"/>
      <w:marLeft w:val="0"/>
      <w:marRight w:val="0"/>
      <w:marTop w:val="0"/>
      <w:marBottom w:val="0"/>
      <w:divBdr>
        <w:top w:val="none" w:sz="0" w:space="0" w:color="auto"/>
        <w:left w:val="none" w:sz="0" w:space="0" w:color="auto"/>
        <w:bottom w:val="none" w:sz="0" w:space="0" w:color="auto"/>
        <w:right w:val="none" w:sz="0" w:space="0" w:color="auto"/>
      </w:divBdr>
    </w:div>
    <w:div w:id="1016270663">
      <w:bodyDiv w:val="1"/>
      <w:marLeft w:val="0"/>
      <w:marRight w:val="0"/>
      <w:marTop w:val="0"/>
      <w:marBottom w:val="0"/>
      <w:divBdr>
        <w:top w:val="none" w:sz="0" w:space="0" w:color="auto"/>
        <w:left w:val="none" w:sz="0" w:space="0" w:color="auto"/>
        <w:bottom w:val="none" w:sz="0" w:space="0" w:color="auto"/>
        <w:right w:val="none" w:sz="0" w:space="0" w:color="auto"/>
      </w:divBdr>
    </w:div>
    <w:div w:id="1187986634">
      <w:bodyDiv w:val="1"/>
      <w:marLeft w:val="0"/>
      <w:marRight w:val="0"/>
      <w:marTop w:val="0"/>
      <w:marBottom w:val="0"/>
      <w:divBdr>
        <w:top w:val="none" w:sz="0" w:space="0" w:color="auto"/>
        <w:left w:val="none" w:sz="0" w:space="0" w:color="auto"/>
        <w:bottom w:val="none" w:sz="0" w:space="0" w:color="auto"/>
        <w:right w:val="none" w:sz="0" w:space="0" w:color="auto"/>
      </w:divBdr>
    </w:div>
    <w:div w:id="1214344139">
      <w:bodyDiv w:val="1"/>
      <w:marLeft w:val="0"/>
      <w:marRight w:val="0"/>
      <w:marTop w:val="0"/>
      <w:marBottom w:val="0"/>
      <w:divBdr>
        <w:top w:val="none" w:sz="0" w:space="0" w:color="auto"/>
        <w:left w:val="none" w:sz="0" w:space="0" w:color="auto"/>
        <w:bottom w:val="none" w:sz="0" w:space="0" w:color="auto"/>
        <w:right w:val="none" w:sz="0" w:space="0" w:color="auto"/>
      </w:divBdr>
    </w:div>
    <w:div w:id="1340230823">
      <w:bodyDiv w:val="1"/>
      <w:marLeft w:val="0"/>
      <w:marRight w:val="0"/>
      <w:marTop w:val="0"/>
      <w:marBottom w:val="0"/>
      <w:divBdr>
        <w:top w:val="none" w:sz="0" w:space="0" w:color="auto"/>
        <w:left w:val="none" w:sz="0" w:space="0" w:color="auto"/>
        <w:bottom w:val="none" w:sz="0" w:space="0" w:color="auto"/>
        <w:right w:val="none" w:sz="0" w:space="0" w:color="auto"/>
      </w:divBdr>
    </w:div>
    <w:div w:id="1370303882">
      <w:bodyDiv w:val="1"/>
      <w:marLeft w:val="0"/>
      <w:marRight w:val="0"/>
      <w:marTop w:val="0"/>
      <w:marBottom w:val="0"/>
      <w:divBdr>
        <w:top w:val="none" w:sz="0" w:space="0" w:color="auto"/>
        <w:left w:val="none" w:sz="0" w:space="0" w:color="auto"/>
        <w:bottom w:val="none" w:sz="0" w:space="0" w:color="auto"/>
        <w:right w:val="none" w:sz="0" w:space="0" w:color="auto"/>
      </w:divBdr>
    </w:div>
    <w:div w:id="1499611350">
      <w:bodyDiv w:val="1"/>
      <w:marLeft w:val="0"/>
      <w:marRight w:val="0"/>
      <w:marTop w:val="0"/>
      <w:marBottom w:val="0"/>
      <w:divBdr>
        <w:top w:val="none" w:sz="0" w:space="0" w:color="auto"/>
        <w:left w:val="none" w:sz="0" w:space="0" w:color="auto"/>
        <w:bottom w:val="none" w:sz="0" w:space="0" w:color="auto"/>
        <w:right w:val="none" w:sz="0" w:space="0" w:color="auto"/>
      </w:divBdr>
    </w:div>
    <w:div w:id="1797944744">
      <w:bodyDiv w:val="1"/>
      <w:marLeft w:val="0"/>
      <w:marRight w:val="0"/>
      <w:marTop w:val="0"/>
      <w:marBottom w:val="0"/>
      <w:divBdr>
        <w:top w:val="none" w:sz="0" w:space="0" w:color="auto"/>
        <w:left w:val="none" w:sz="0" w:space="0" w:color="auto"/>
        <w:bottom w:val="none" w:sz="0" w:space="0" w:color="auto"/>
        <w:right w:val="none" w:sz="0" w:space="0" w:color="auto"/>
      </w:divBdr>
    </w:div>
    <w:div w:id="1897545067">
      <w:bodyDiv w:val="1"/>
      <w:marLeft w:val="0"/>
      <w:marRight w:val="0"/>
      <w:marTop w:val="0"/>
      <w:marBottom w:val="0"/>
      <w:divBdr>
        <w:top w:val="none" w:sz="0" w:space="0" w:color="auto"/>
        <w:left w:val="none" w:sz="0" w:space="0" w:color="auto"/>
        <w:bottom w:val="none" w:sz="0" w:space="0" w:color="auto"/>
        <w:right w:val="none" w:sz="0" w:space="0" w:color="auto"/>
      </w:divBdr>
    </w:div>
    <w:div w:id="189905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13492-FE3E-4A23-9CC4-FD5719BB5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2213</TotalTime>
  <Pages>4</Pages>
  <Words>1010</Words>
  <Characters>5758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
  <Company>Qualcomm</Company>
  <LinksUpToDate>false</LinksUpToDate>
  <CharactersWithSpaces>6755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 Schevciw</dc:creator>
  <cp:keywords/>
  <dc:description/>
  <cp:lastModifiedBy>Graham Davis</cp:lastModifiedBy>
  <cp:revision>212</cp:revision>
  <cp:lastPrinted>2011-02-16T13:19:00Z</cp:lastPrinted>
  <dcterms:created xsi:type="dcterms:W3CDTF">2019-04-03T00:35:00Z</dcterms:created>
  <dcterms:modified xsi:type="dcterms:W3CDTF">2019-06-25T18:09:00Z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-1269403884</vt:i4>
  </property>
  <property fmtid="{D5CDD505-2E9C-101B-9397-08002B2CF9AE}" pid="3" name="_NewReviewCycle">
    <vt:lpwstr/>
  </property>
  <property fmtid="{D5CDD505-2E9C-101B-9397-08002B2CF9AE}" pid="4" name="_EmailSubject">
    <vt:lpwstr>Paper </vt:lpwstr>
  </property>
  <property fmtid="{D5CDD505-2E9C-101B-9397-08002B2CF9AE}" pid="5" name="_AuthorEmail">
    <vt:lpwstr>aschevci@qti.qualcomm.com</vt:lpwstr>
  </property>
  <property fmtid="{D5CDD505-2E9C-101B-9397-08002B2CF9AE}" pid="6" name="_AuthorEmailDisplayName">
    <vt:lpwstr>Andre Schevciw</vt:lpwstr>
  </property>
  <property fmtid="{D5CDD505-2E9C-101B-9397-08002B2CF9AE}" pid="7" name="_ReviewingToolsShownOnce">
    <vt:lpwstr/>
  </property>
</Properties>
</file>